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D90454" w:rsidTr="00021D0E">
        <w:tc>
          <w:tcPr>
            <w:tcW w:w="9576" w:type="dxa"/>
            <w:shd w:val="clear" w:color="auto" w:fill="1F497D"/>
          </w:tcPr>
          <w:p w:rsidR="00327942" w:rsidRPr="00D90454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bookmarkStart w:id="0" w:name="_GoBack"/>
            <w:bookmarkEnd w:id="0"/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D90454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1.1.</w:t>
      </w:r>
      <w:r w:rsidR="00327942" w:rsidRPr="00602E56">
        <w:rPr>
          <w:b/>
          <w:szCs w:val="20"/>
          <w:lang w:val="sv"/>
        </w:rPr>
        <w:t>Produkt identifierare</w:t>
      </w:r>
    </w:p>
    <w:p w:rsidR="00327942" w:rsidRPr="00D90454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 xml:space="preserve">Radex </w:t>
      </w:r>
      <w:r w:rsidR="00DE5B96">
        <w:rPr>
          <w:szCs w:val="20"/>
          <w:lang w:val="sv"/>
        </w:rPr>
        <w:t>2k Express klarlack                                         produktkod 810002</w:t>
      </w:r>
    </w:p>
    <w:p w:rsidR="00327942" w:rsidRPr="00D90454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DE5B96" w:rsidRDefault="00DE5B96" w:rsidP="00C84BAD">
      <w:pPr>
        <w:pStyle w:val="Ingetavstnd"/>
      </w:pPr>
      <w:r>
        <w:rPr>
          <w:lang w:val="sv"/>
        </w:rPr>
        <w:t>Akryl klarlack (komponent A) för applicering med hjälp av en spolhandtaget. För professionellt bruk i bil Refinish.</w:t>
      </w:r>
    </w:p>
    <w:p w:rsidR="00327942" w:rsidRPr="00D90454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1.3.</w:t>
      </w:r>
      <w:r w:rsidR="00327942" w:rsidRPr="00602E56">
        <w:rPr>
          <w:b/>
          <w:szCs w:val="20"/>
          <w:lang w:val="sv"/>
        </w:rPr>
        <w:t>Data av leverantörens säkerhets data blad</w:t>
      </w:r>
    </w:p>
    <w:p w:rsidR="00327942" w:rsidRPr="00D90454" w:rsidRDefault="00327942" w:rsidP="00327942">
      <w:pPr>
        <w:pStyle w:val="Ingetavstnd"/>
        <w:rPr>
          <w:szCs w:val="20"/>
          <w:lang w:val="sv-SE"/>
        </w:rPr>
      </w:pPr>
      <w:r w:rsidRPr="00602E56">
        <w:rPr>
          <w:rStyle w:val="Bodytext5Arial"/>
          <w:lang w:val="sv"/>
        </w:rPr>
        <w:t>SIA Radex-Europe,</w:t>
      </w:r>
    </w:p>
    <w:p w:rsidR="00327942" w:rsidRPr="00D90454" w:rsidRDefault="00B5631F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>
        <w:rPr>
          <w:rStyle w:val="Bodytext5Arial"/>
          <w:lang w:val="sv"/>
        </w:rPr>
        <w:t>din-</w:t>
      </w:r>
      <w:r w:rsidR="00327942" w:rsidRPr="00602E56">
        <w:rPr>
          <w:rStyle w:val="Bodytext5Arial"/>
          <w:lang w:val="sv"/>
        </w:rPr>
        <w:t>XT'S Street, 3</w:t>
      </w:r>
    </w:p>
    <w:p w:rsidR="00327942" w:rsidRPr="00D90454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602E56">
        <w:rPr>
          <w:rStyle w:val="Bodytext5Arial"/>
          <w:lang w:val="sv"/>
        </w:rPr>
        <w:t>Riga, LV-1005</w:t>
      </w:r>
    </w:p>
    <w:p w:rsidR="001509C9" w:rsidRPr="00D90454" w:rsidRDefault="001509C9" w:rsidP="00327942">
      <w:pPr>
        <w:pStyle w:val="Ingetavstnd"/>
        <w:rPr>
          <w:szCs w:val="20"/>
          <w:lang w:val="sv-SE"/>
        </w:rPr>
      </w:pPr>
    </w:p>
    <w:p w:rsidR="00327942" w:rsidRPr="00D90454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2.1.</w:t>
      </w:r>
      <w:r w:rsidR="00365284" w:rsidRPr="001509C9">
        <w:rPr>
          <w:b/>
          <w:lang w:val="sv"/>
        </w:rPr>
        <w:t>Klassificering av ämnet eller blandningen</w:t>
      </w:r>
    </w:p>
    <w:p w:rsidR="00B5631F" w:rsidRPr="00D90454" w:rsidRDefault="00B5631F" w:rsidP="00B5631F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B5631F" w:rsidRPr="00D90454" w:rsidRDefault="00B5631F" w:rsidP="00B5631F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B5631F" w:rsidRPr="00B9292E" w:rsidTr="00CF64E1">
        <w:tc>
          <w:tcPr>
            <w:tcW w:w="5000" w:type="pct"/>
            <w:shd w:val="clear" w:color="auto" w:fill="auto"/>
          </w:tcPr>
          <w:p w:rsidR="00B5631F" w:rsidRPr="00B5631F" w:rsidRDefault="00B5631F" w:rsidP="00B5631F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B5631F" w:rsidRPr="00D90454" w:rsidTr="00CF64E1">
        <w:tc>
          <w:tcPr>
            <w:tcW w:w="5000" w:type="pct"/>
            <w:shd w:val="clear" w:color="auto" w:fill="auto"/>
          </w:tcPr>
          <w:p w:rsidR="00B5631F" w:rsidRPr="00D90454" w:rsidRDefault="00B5631F" w:rsidP="00B5631F">
            <w:pPr>
              <w:pStyle w:val="Ingetavstnd"/>
              <w:jc w:val="both"/>
              <w:rPr>
                <w:highlight w:val="yellow"/>
                <w:lang w:val="sv-SE"/>
              </w:rPr>
            </w:pPr>
            <w:r w:rsidRPr="00A52D1E">
              <w:rPr>
                <w:lang w:val="sv"/>
              </w:rPr>
              <w:t>ACU</w:t>
            </w:r>
            <w:r>
              <w:rPr>
                <w:lang w:val="sv"/>
              </w:rPr>
              <w:t>te toxicitet (</w:t>
            </w:r>
            <w:r w:rsidRPr="00A52D1E">
              <w:rPr>
                <w:lang w:val="sv"/>
              </w:rPr>
              <w:t xml:space="preserve">Dermalt, inandning.), riskkategori 4 (Akut Tox. 4) </w:t>
            </w:r>
            <w:r w:rsidRPr="00BF2F5E">
              <w:rPr>
                <w:lang w:val="sv"/>
              </w:rPr>
              <w:t>Skadligt vid hudkontakt eller vid inandning</w:t>
            </w:r>
            <w:r>
              <w:rPr>
                <w:lang w:val="sv"/>
              </w:rPr>
              <w:t xml:space="preserve"> (</w:t>
            </w:r>
            <w:r w:rsidRPr="00A52D1E">
              <w:rPr>
                <w:lang w:val="sv"/>
              </w:rPr>
              <w:t>H312 + H332)</w:t>
            </w:r>
            <w:r w:rsidRPr="00B5631F">
              <w:rPr>
                <w:lang w:val="sv"/>
              </w:rPr>
              <w:t>.</w:t>
            </w:r>
          </w:p>
          <w:p w:rsidR="00B5631F" w:rsidRPr="00D90454" w:rsidRDefault="00B5631F" w:rsidP="00B5631F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Irriterande effekt på hud, kategori 2 (hud Irrit. 2).</w:t>
            </w:r>
            <w:r>
              <w:rPr>
                <w:lang w:val="sv"/>
              </w:rPr>
              <w:t xml:space="preserve"> Orsakar hudirritation</w:t>
            </w:r>
            <w:r w:rsidRPr="00B9292E">
              <w:rPr>
                <w:lang w:val="sv"/>
              </w:rPr>
              <w:t xml:space="preserve"> H315)</w:t>
            </w:r>
            <w:r>
              <w:rPr>
                <w:lang w:val="sv"/>
              </w:rPr>
              <w:t>.</w:t>
            </w:r>
          </w:p>
          <w:p w:rsidR="00B5631F" w:rsidRPr="00D90454" w:rsidRDefault="00B5631F" w:rsidP="00B5631F">
            <w:pPr>
              <w:pStyle w:val="Ingetavstnd"/>
              <w:jc w:val="both"/>
              <w:rPr>
                <w:lang w:val="sv-SE"/>
              </w:rPr>
            </w:pPr>
            <w:r w:rsidRPr="00DA61A4">
              <w:rPr>
                <w:lang w:val="sv"/>
              </w:rPr>
              <w:t xml:space="preserve">Sensibilisering – hud, kategori 1 (Skin Sens. 1). Kan </w:t>
            </w:r>
            <w:r>
              <w:rPr>
                <w:lang w:val="sv"/>
              </w:rPr>
              <w:t>orsaka allergisk hudreaktion</w:t>
            </w:r>
            <w:r w:rsidRPr="00DA61A4">
              <w:rPr>
                <w:lang w:val="sv"/>
              </w:rPr>
              <w:t xml:space="preserve"> (H317)</w:t>
            </w:r>
            <w:r>
              <w:rPr>
                <w:lang w:val="sv"/>
              </w:rPr>
              <w:t>.</w:t>
            </w:r>
          </w:p>
          <w:p w:rsidR="00B5631F" w:rsidRPr="00D90454" w:rsidRDefault="00B5631F" w:rsidP="00B5631F">
            <w:pPr>
              <w:pStyle w:val="Ingetavstnd"/>
              <w:jc w:val="both"/>
              <w:rPr>
                <w:rFonts w:eastAsia="TTA2036328t00"/>
                <w:lang w:val="sv-SE"/>
              </w:rPr>
            </w:pPr>
            <w:r w:rsidRPr="00DA61A4">
              <w:rPr>
                <w:lang w:val="sv"/>
              </w:rPr>
              <w:t>Toxisk effekt på målorgan – enstaka exponering, kategori 3 (Specifik organtoxicitet se Cat. 3).</w:t>
            </w:r>
            <w:r w:rsidRPr="00024B6A">
              <w:rPr>
                <w:lang w:val="sv"/>
              </w:rPr>
              <w:t xml:space="preserve"> </w:t>
            </w:r>
            <w:r w:rsidRPr="00DA61A4">
              <w:rPr>
                <w:lang w:val="sv"/>
              </w:rPr>
              <w:t xml:space="preserve">Kan orsaka dåsighet eller yrsel (H336). </w:t>
            </w:r>
          </w:p>
          <w:p w:rsidR="00B5631F" w:rsidRPr="00B5631F" w:rsidRDefault="00B5631F" w:rsidP="00B5631F">
            <w:pPr>
              <w:pStyle w:val="Ingetavstnd"/>
              <w:jc w:val="both"/>
              <w:rPr>
                <w:lang w:val="de-DE"/>
              </w:rPr>
            </w:pPr>
            <w:r w:rsidRPr="00024B6A">
              <w:rPr>
                <w:lang w:val="sv"/>
              </w:rPr>
              <w:t>Farligt för vattenmiljön – kronisk fara, kategori 3 (akvatisk kronisk 3). Skadligt för vattenlevande organismer med långtidseffekter. (H412).</w:t>
            </w:r>
          </w:p>
          <w:p w:rsidR="00B5631F" w:rsidRPr="00D90454" w:rsidRDefault="00B5631F" w:rsidP="00B5631F">
            <w:pPr>
              <w:pStyle w:val="Ingetavstnd"/>
              <w:jc w:val="both"/>
              <w:rPr>
                <w:lang w:val="sv-SE"/>
              </w:rPr>
            </w:pPr>
            <w:r w:rsidRPr="00DA61A4">
              <w:rPr>
                <w:lang w:val="sv"/>
              </w:rPr>
              <w:t xml:space="preserve">Flytande, </w:t>
            </w:r>
            <w:r>
              <w:rPr>
                <w:lang w:val="sv"/>
              </w:rPr>
              <w:t>brandfarliga ämnen, kategori 2</w:t>
            </w:r>
            <w:r w:rsidRPr="00DA61A4">
              <w:rPr>
                <w:lang w:val="sv"/>
              </w:rPr>
              <w:t xml:space="preserve"> FLam. LIQ. </w:t>
            </w:r>
            <w:r>
              <w:rPr>
                <w:lang w:val="sv"/>
              </w:rPr>
              <w:t>2</w:t>
            </w:r>
            <w:r w:rsidRPr="00DA61A4">
              <w:rPr>
                <w:lang w:val="sv"/>
              </w:rPr>
              <w:t>). Mycket brandfarlig vätska och ånga (H225).</w:t>
            </w:r>
          </w:p>
          <w:p w:rsidR="00B5631F" w:rsidRPr="00D90454" w:rsidRDefault="00B5631F" w:rsidP="00B5631F">
            <w:pPr>
              <w:pStyle w:val="Ingetavstnd"/>
              <w:jc w:val="both"/>
              <w:rPr>
                <w:highlight w:val="yellow"/>
                <w:lang w:val="sv-SE"/>
              </w:rPr>
            </w:pPr>
          </w:p>
        </w:tc>
      </w:tr>
      <w:tr w:rsidR="00B5631F" w:rsidRPr="00D34D3F" w:rsidTr="00B5631F">
        <w:tc>
          <w:tcPr>
            <w:tcW w:w="5000" w:type="pct"/>
            <w:shd w:val="clear" w:color="auto" w:fill="auto"/>
          </w:tcPr>
          <w:p w:rsidR="00B5631F" w:rsidRPr="00B5631F" w:rsidRDefault="00B5631F" w:rsidP="00B5631F">
            <w:pPr>
              <w:pStyle w:val="Ingetavstnd"/>
              <w:rPr>
                <w:b/>
                <w:lang w:val="en-GB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</w:tc>
      </w:tr>
      <w:tr w:rsidR="00B5631F" w:rsidRPr="00D34D3F" w:rsidTr="00B5631F">
        <w:tc>
          <w:tcPr>
            <w:tcW w:w="5000" w:type="pct"/>
            <w:shd w:val="clear" w:color="auto" w:fill="auto"/>
          </w:tcPr>
          <w:p w:rsidR="00B5631F" w:rsidRPr="00B5631F" w:rsidRDefault="00B5631F" w:rsidP="00B5631F">
            <w:pPr>
              <w:pStyle w:val="Ingetavstnd"/>
              <w:jc w:val="both"/>
              <w:rPr>
                <w:lang w:val="en-GB"/>
              </w:rPr>
            </w:pPr>
            <w:r w:rsidRPr="00D34D3F">
              <w:rPr>
                <w:lang w:val="sv"/>
              </w:rPr>
              <w:t xml:space="preserve">Skadlig blandning. Skadligt av inhalatio. </w:t>
            </w:r>
            <w:r w:rsidRPr="00B5631F">
              <w:rPr>
                <w:lang w:val="sv"/>
              </w:rPr>
              <w:t xml:space="preserve">Kan ge allergi vid hudkontakt. </w:t>
            </w:r>
            <w:r w:rsidRPr="00D34D3F">
              <w:rPr>
                <w:lang w:val="sv"/>
              </w:rPr>
              <w:t xml:space="preserve"> Upprepad exponering kan ge torr hud eller torra sprickor. </w:t>
            </w:r>
            <w:r w:rsidRPr="00B5631F">
              <w:rPr>
                <w:lang w:val="sv"/>
              </w:rPr>
              <w:t>Skadligt för vattenlevande organismer, kan orsaka skadligalångtidseffekter i vattenmiljön. Mycket f</w:t>
            </w:r>
            <w:r w:rsidRPr="00D34D3F">
              <w:rPr>
                <w:lang w:val="sv"/>
              </w:rPr>
              <w:t>lammable produkt</w:t>
            </w:r>
            <w:r w:rsidR="000301A3">
              <w:rPr>
                <w:lang w:val="sv"/>
              </w:rPr>
              <w:t>.</w:t>
            </w:r>
          </w:p>
        </w:tc>
      </w:tr>
    </w:tbl>
    <w:p w:rsidR="00B5631F" w:rsidRPr="001509C9" w:rsidRDefault="00B5631F" w:rsidP="001509C9">
      <w:pPr>
        <w:pStyle w:val="Ingetavstnd"/>
        <w:rPr>
          <w:b/>
        </w:rPr>
      </w:pPr>
    </w:p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2.2.</w:t>
      </w:r>
      <w:r w:rsidR="0037561C" w:rsidRPr="001509C9">
        <w:rPr>
          <w:b/>
          <w:lang w:val="sv"/>
        </w:rPr>
        <w:t>Etikett 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623D9E" w:rsidRPr="00021D0E" w:rsidTr="00021D0E">
        <w:tc>
          <w:tcPr>
            <w:tcW w:w="1728" w:type="dxa"/>
          </w:tcPr>
          <w:p w:rsidR="0037561C" w:rsidRPr="00021D0E" w:rsidRDefault="0037561C" w:rsidP="008863C3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37561C" w:rsidRPr="00021D0E" w:rsidRDefault="00DE5B96" w:rsidP="00B5631F">
            <w:pPr>
              <w:pStyle w:val="Ingetavstnd"/>
            </w:pPr>
            <w:r>
              <w:rPr>
                <w:lang w:val="sv"/>
              </w:rPr>
              <w:t>isobutylacetat metyl keton</w:t>
            </w:r>
          </w:p>
        </w:tc>
      </w:tr>
      <w:tr w:rsidR="00623D9E" w:rsidRPr="00021D0E" w:rsidTr="00021D0E">
        <w:tc>
          <w:tcPr>
            <w:tcW w:w="1728" w:type="dxa"/>
          </w:tcPr>
          <w:p w:rsidR="0037561C" w:rsidRPr="00021D0E" w:rsidRDefault="00B5631F" w:rsidP="008863C3">
            <w:pPr>
              <w:pStyle w:val="Ingetavstnd"/>
            </w:pPr>
            <w:r>
              <w:rPr>
                <w:lang w:val="sv"/>
              </w:rPr>
              <w:t>Piktogram</w:t>
            </w:r>
            <w:r w:rsidR="0037561C"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DE5B96" w:rsidRPr="00021D0E" w:rsidRDefault="00D90454" w:rsidP="00B5631F">
            <w:pPr>
              <w:pStyle w:val="Ingetavstnd"/>
            </w:pP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2" name="Bild 2" descr="http://www.unece.org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D9E" w:rsidRPr="00021D0E" w:rsidTr="00C84BAD">
        <w:tc>
          <w:tcPr>
            <w:tcW w:w="1728" w:type="dxa"/>
          </w:tcPr>
          <w:p w:rsidR="0037561C" w:rsidRPr="00021D0E" w:rsidRDefault="00B5631F" w:rsidP="008863C3">
            <w:pPr>
              <w:pStyle w:val="Ingetavstnd"/>
            </w:pPr>
            <w:r>
              <w:rPr>
                <w:lang w:val="sv"/>
              </w:rPr>
              <w:t>Signal ord</w:t>
            </w:r>
            <w:r w:rsidR="0037561C"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37561C" w:rsidRPr="00021D0E" w:rsidRDefault="00B5631F" w:rsidP="008863C3">
            <w:pPr>
              <w:pStyle w:val="Ingetavstnd"/>
            </w:pPr>
            <w:r>
              <w:rPr>
                <w:lang w:val="sv"/>
              </w:rPr>
              <w:t>Fara</w:t>
            </w:r>
          </w:p>
        </w:tc>
      </w:tr>
      <w:tr w:rsidR="00B5631F" w:rsidRPr="00D90454" w:rsidTr="00CF64E1"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H225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Mycket brandfarlig vätska och ånga.</w:t>
            </w:r>
          </w:p>
        </w:tc>
      </w:tr>
      <w:tr w:rsidR="00B5631F" w:rsidRPr="00D90454" w:rsidTr="00C84BAD"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H312 + H332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Skadligt vid hudkontakt eller vid inandning</w:t>
            </w:r>
          </w:p>
        </w:tc>
      </w:tr>
      <w:tr w:rsidR="00B5631F" w:rsidRPr="00021D0E" w:rsidTr="00C84BAD"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H315</w:t>
            </w:r>
          </w:p>
        </w:tc>
        <w:tc>
          <w:tcPr>
            <w:tcW w:w="7902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Orsakar hudirritation.</w:t>
            </w:r>
          </w:p>
        </w:tc>
      </w:tr>
      <w:tr w:rsidR="00B5631F" w:rsidRPr="00021D0E" w:rsidTr="00C84BAD"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H317</w:t>
            </w:r>
          </w:p>
        </w:tc>
        <w:tc>
          <w:tcPr>
            <w:tcW w:w="7902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Kan orsaka allergisk hudreaktion.</w:t>
            </w:r>
          </w:p>
        </w:tc>
      </w:tr>
      <w:tr w:rsidR="00B5631F" w:rsidRPr="00D90454" w:rsidTr="00C84BAD"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H336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Kan orsaka dåsighet eller yrsel.</w:t>
            </w:r>
          </w:p>
        </w:tc>
      </w:tr>
      <w:tr w:rsidR="00B5631F" w:rsidRPr="00D90454" w:rsidTr="00CF64E1">
        <w:trPr>
          <w:trHeight w:val="45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H412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Skadligt för vattenlevande organismer med långtidseffekter.</w:t>
            </w:r>
          </w:p>
        </w:tc>
      </w:tr>
      <w:tr w:rsidR="00B5631F" w:rsidRPr="00D90454" w:rsidTr="00CF64E1">
        <w:trPr>
          <w:trHeight w:val="233"/>
        </w:trPr>
        <w:tc>
          <w:tcPr>
            <w:tcW w:w="1728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B5631F" w:rsidRPr="00D90454" w:rsidRDefault="00B5631F" w:rsidP="00B5631F">
            <w:pPr>
              <w:pStyle w:val="Ingetavstnd"/>
              <w:rPr>
                <w:lang w:val="sv-SE"/>
              </w:rPr>
            </w:pPr>
          </w:p>
        </w:tc>
      </w:tr>
      <w:tr w:rsidR="00B5631F" w:rsidRPr="00021D0E" w:rsidTr="00CF64E1">
        <w:trPr>
          <w:trHeight w:val="233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P210</w:t>
            </w:r>
          </w:p>
        </w:tc>
        <w:tc>
          <w:tcPr>
            <w:tcW w:w="7902" w:type="dxa"/>
          </w:tcPr>
          <w:p w:rsidR="00B5631F" w:rsidRPr="00B5631F" w:rsidRDefault="00B5631F" w:rsidP="00B5631F">
            <w:pPr>
              <w:pStyle w:val="Ingetavstnd"/>
              <w:jc w:val="both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B5631F" w:rsidRPr="00D90454" w:rsidTr="00CF64E1">
        <w:trPr>
          <w:trHeight w:val="40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P261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Undvik inandning av ångor/sprej.</w:t>
            </w:r>
          </w:p>
        </w:tc>
      </w:tr>
      <w:tr w:rsidR="00B5631F" w:rsidRPr="00D90454" w:rsidTr="00CF64E1">
        <w:trPr>
          <w:trHeight w:val="40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P271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Använd endast utomhus eller i väl ventilerat utrymme.</w:t>
            </w:r>
          </w:p>
        </w:tc>
      </w:tr>
      <w:tr w:rsidR="00B5631F" w:rsidRPr="00D90454" w:rsidTr="00CF64E1">
        <w:trPr>
          <w:trHeight w:val="40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P280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Använd skyddshandskar/skyddskläder/ögonskydd/ansiktsskydd.</w:t>
            </w:r>
          </w:p>
        </w:tc>
      </w:tr>
      <w:tr w:rsidR="00B5631F" w:rsidRPr="00D90454" w:rsidTr="00CF64E1">
        <w:trPr>
          <w:trHeight w:val="40"/>
        </w:trPr>
        <w:tc>
          <w:tcPr>
            <w:tcW w:w="1728" w:type="dxa"/>
          </w:tcPr>
          <w:p w:rsidR="00B5631F" w:rsidRPr="00B5631F" w:rsidRDefault="00B5631F" w:rsidP="00B5631F">
            <w:pPr>
              <w:pStyle w:val="Ingetavstnd"/>
              <w:rPr>
                <w:szCs w:val="17"/>
              </w:rPr>
            </w:pPr>
            <w:r w:rsidRPr="00B5631F">
              <w:rPr>
                <w:szCs w:val="17"/>
                <w:lang w:val="sv"/>
              </w:rPr>
              <w:t>P312</w:t>
            </w:r>
          </w:p>
        </w:tc>
        <w:tc>
          <w:tcPr>
            <w:tcW w:w="7902" w:type="dxa"/>
          </w:tcPr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  <w:r w:rsidRPr="00B5631F">
              <w:rPr>
                <w:szCs w:val="17"/>
                <w:lang w:val="sv"/>
              </w:rPr>
              <w:t>Kontakta läkare om du mår bra.</w:t>
            </w:r>
          </w:p>
          <w:p w:rsidR="00B5631F" w:rsidRPr="00D90454" w:rsidRDefault="00B5631F" w:rsidP="00B5631F">
            <w:pPr>
              <w:pStyle w:val="Ingetavstnd"/>
              <w:rPr>
                <w:szCs w:val="17"/>
                <w:lang w:val="sv-SE"/>
              </w:rPr>
            </w:pPr>
          </w:p>
        </w:tc>
      </w:tr>
    </w:tbl>
    <w:p w:rsidR="0037561C" w:rsidRPr="00D90454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lastRenderedPageBreak/>
        <w:t>Andra faror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  <w:r w:rsidRPr="00602E56">
        <w:rPr>
          <w:szCs w:val="20"/>
          <w:lang w:val="sv"/>
        </w:rPr>
        <w:t>Inga tillgängliga data</w:t>
      </w:r>
    </w:p>
    <w:p w:rsidR="0031481A" w:rsidRPr="00602E56" w:rsidRDefault="0031481A" w:rsidP="0031481A">
      <w:pPr>
        <w:pStyle w:val="Ingetavstnd"/>
        <w:ind w:left="36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3.1.</w:t>
      </w:r>
      <w:r w:rsidR="0031481A" w:rsidRPr="0061684B">
        <w:rPr>
          <w:b/>
          <w:lang w:val="sv"/>
        </w:rPr>
        <w:t>Ämnen</w:t>
      </w:r>
    </w:p>
    <w:p w:rsidR="0031481A" w:rsidRPr="00602E56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EG: 204-658-1 </w:t>
            </w:r>
          </w:p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CAS: 123-86-4 </w:t>
            </w:r>
          </w:p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 xml:space="preserve">Index nr: 607-025-00-1 </w:t>
            </w:r>
          </w:p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>Klassificering 67/548/EEC: R10, R66-67</w:t>
            </w:r>
          </w:p>
          <w:p w:rsidR="00343957" w:rsidRDefault="00343957" w:rsidP="00343957">
            <w:pPr>
              <w:pStyle w:val="Ingetavstnd"/>
            </w:pPr>
          </w:p>
          <w:p w:rsidR="00382A00" w:rsidRPr="00D90454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Klassificering 1272/2008/EG: Flam. Vätskor. 3; H226; Specifik organtoxicitet se 3; H336 </w:t>
            </w:r>
          </w:p>
          <w:p w:rsidR="00382A00" w:rsidRPr="00D90454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382A00" w:rsidRPr="00D90454" w:rsidRDefault="00382A00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 GHS07; WNG; H226, H336, EUH066</w:t>
            </w:r>
          </w:p>
        </w:tc>
        <w:tc>
          <w:tcPr>
            <w:tcW w:w="1530" w:type="dxa"/>
          </w:tcPr>
          <w:p w:rsidR="00382A00" w:rsidRPr="00021D0E" w:rsidRDefault="00382A00" w:rsidP="00343957">
            <w:pPr>
              <w:pStyle w:val="Ingetavstnd"/>
              <w:jc w:val="center"/>
            </w:pPr>
            <w:r>
              <w:rPr>
                <w:lang w:val="sv"/>
              </w:rPr>
              <w:t>20-25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8863C3" w:rsidP="00021D0E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</w:t>
            </w:r>
            <w:r w:rsidR="0031481A" w:rsidRPr="00021D0E">
              <w:rPr>
                <w:lang w:val="sv"/>
              </w:rPr>
              <w:t>Ylene</w:t>
            </w:r>
          </w:p>
        </w:tc>
        <w:tc>
          <w:tcPr>
            <w:tcW w:w="2250" w:type="dxa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EG: 215-535-7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CAS: 1330-20-7 </w:t>
            </w:r>
          </w:p>
          <w:p w:rsidR="0061684B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 xml:space="preserve">Index nr: 601-022-00-9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Re</w:t>
            </w:r>
            <w:r w:rsidR="0061684B" w:rsidRPr="00021D0E">
              <w:rPr>
                <w:lang w:val="sv"/>
              </w:rPr>
              <w:t>rekommendation Nej:-</w:t>
            </w:r>
          </w:p>
          <w:p w:rsidR="0031481A" w:rsidRPr="00021D0E" w:rsidRDefault="0031481A" w:rsidP="0061684B">
            <w:pPr>
              <w:pStyle w:val="Ingetavstnd"/>
            </w:pPr>
          </w:p>
        </w:tc>
        <w:tc>
          <w:tcPr>
            <w:tcW w:w="3960" w:type="dxa"/>
          </w:tcPr>
          <w:p w:rsidR="0031481A" w:rsidRPr="00D90454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</w:t>
            </w:r>
            <w:r w:rsidR="0061684B" w:rsidRPr="00021D0E">
              <w:rPr>
                <w:lang w:val="sv"/>
              </w:rPr>
              <w:t xml:space="preserve">; Xn; R20/21; </w:t>
            </w:r>
            <w:r w:rsidRPr="00021D0E">
              <w:rPr>
                <w:lang w:val="sv"/>
              </w:rPr>
              <w:t>XI; R38</w:t>
            </w:r>
          </w:p>
          <w:p w:rsidR="0031481A" w:rsidRPr="00D90454" w:rsidRDefault="0031481A" w:rsidP="0061684B">
            <w:pPr>
              <w:pStyle w:val="Ingetavstnd"/>
              <w:rPr>
                <w:lang w:val="sv-SE"/>
              </w:rPr>
            </w:pP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31481A" w:rsidRPr="00021D0E" w:rsidRDefault="00382A00" w:rsidP="00343957">
            <w:pPr>
              <w:pStyle w:val="Ingetavstnd"/>
              <w:jc w:val="center"/>
            </w:pPr>
            <w:r>
              <w:rPr>
                <w:lang w:val="sv"/>
              </w:rPr>
              <w:t>5-10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 xml:space="preserve">EG: 203-603-9 </w:t>
            </w:r>
          </w:p>
          <w:p w:rsidR="0031481A" w:rsidRPr="00021D0E" w:rsidRDefault="0031481A" w:rsidP="00021D0E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61684B" w:rsidRPr="00021D0E" w:rsidRDefault="0031481A" w:rsidP="0061684B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31481A" w:rsidRPr="00021D0E" w:rsidRDefault="0061684B" w:rsidP="0061684B">
            <w:pPr>
              <w:pStyle w:val="Ingetavstnd"/>
            </w:pPr>
            <w:r w:rsidRPr="00021D0E">
              <w:rPr>
                <w:lang w:val="sv"/>
              </w:rPr>
              <w:t>Registrering Nej</w:t>
            </w:r>
            <w:r w:rsidR="0031481A" w:rsidRPr="00021D0E">
              <w:rPr>
                <w:lang w:val="sv"/>
              </w:rPr>
              <w:t>:</w:t>
            </w:r>
            <w:r w:rsidRPr="00021D0E">
              <w:rPr>
                <w:lang w:val="sv"/>
              </w:rPr>
              <w:t>-</w:t>
            </w:r>
          </w:p>
        </w:tc>
        <w:tc>
          <w:tcPr>
            <w:tcW w:w="3960" w:type="dxa"/>
          </w:tcPr>
          <w:p w:rsidR="0031481A" w:rsidRPr="00D90454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67/548/EEC: R10</w:t>
            </w:r>
          </w:p>
          <w:p w:rsidR="0031481A" w:rsidRPr="00D90454" w:rsidRDefault="0031481A" w:rsidP="00021D0E">
            <w:pPr>
              <w:pStyle w:val="Ingetavstnd"/>
              <w:rPr>
                <w:lang w:val="sv-SE"/>
              </w:rPr>
            </w:pPr>
          </w:p>
          <w:p w:rsidR="0061684B" w:rsidRPr="00D90454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1272/20</w:t>
            </w:r>
            <w:r w:rsidR="00343957">
              <w:rPr>
                <w:lang w:val="sv"/>
              </w:rPr>
              <w:t xml:space="preserve">08/EG: Flam. Vätskor. 3; </w:t>
            </w:r>
            <w:r w:rsidRPr="00021D0E">
              <w:rPr>
                <w:lang w:val="sv"/>
              </w:rPr>
              <w:t xml:space="preserve">H226; </w:t>
            </w:r>
          </w:p>
          <w:p w:rsidR="0031481A" w:rsidRPr="00D90454" w:rsidRDefault="0031481A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31481A" w:rsidRPr="00D90454" w:rsidRDefault="0031481A" w:rsidP="0061684B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31481A" w:rsidRPr="00021D0E" w:rsidRDefault="00382A00" w:rsidP="00343957">
            <w:pPr>
              <w:pStyle w:val="Ingetavstnd"/>
              <w:jc w:val="center"/>
            </w:pPr>
            <w:r>
              <w:rPr>
                <w:lang w:val="sv"/>
              </w:rPr>
              <w:t>10-15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9945BD" w:rsidP="00343957">
            <w:pPr>
              <w:pStyle w:val="Ingetavstnd"/>
            </w:pPr>
            <w:r>
              <w:rPr>
                <w:lang w:val="sv"/>
              </w:rPr>
              <w:t>isobutylacetat metyl keton</w:t>
            </w:r>
          </w:p>
        </w:tc>
        <w:tc>
          <w:tcPr>
            <w:tcW w:w="2250" w:type="dxa"/>
          </w:tcPr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>Vi: 203-550-1</w:t>
            </w:r>
          </w:p>
          <w:p w:rsidR="009945BD" w:rsidRPr="00021D0E" w:rsidRDefault="009945BD" w:rsidP="00343957">
            <w:pPr>
              <w:pStyle w:val="Ingetavstnd"/>
            </w:pPr>
            <w:r w:rsidRPr="00021D0E">
              <w:rPr>
                <w:lang w:val="sv"/>
              </w:rPr>
              <w:t>Case: 108-</w:t>
            </w:r>
            <w:r>
              <w:rPr>
                <w:lang w:val="sv"/>
              </w:rPr>
              <w:t>10-1</w:t>
            </w:r>
          </w:p>
          <w:p w:rsidR="009945BD" w:rsidRPr="00021D0E" w:rsidRDefault="009945BD" w:rsidP="00343957">
            <w:pPr>
              <w:pStyle w:val="Ingetavstnd"/>
            </w:pPr>
            <w:r w:rsidRPr="00021D0E">
              <w:rPr>
                <w:lang w:val="sv"/>
              </w:rPr>
              <w:t xml:space="preserve">Index nr: </w:t>
            </w:r>
            <w:r>
              <w:rPr>
                <w:lang w:val="sv"/>
              </w:rPr>
              <w:t>606-004-00-4</w:t>
            </w:r>
            <w:r w:rsidRPr="00021D0E">
              <w:rPr>
                <w:lang w:val="sv"/>
              </w:rPr>
              <w:t xml:space="preserve"> </w:t>
            </w:r>
          </w:p>
          <w:p w:rsidR="0031481A" w:rsidRPr="00021D0E" w:rsidRDefault="009945BD" w:rsidP="00343957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31481A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F: R11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Xn; R20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XI; R36/37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R66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1272/2008/vi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Flam. Vätskor. 2; H225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Akut Tox. 4; H332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Eye Irrit. 2; H319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Specifik organtoxicitet se 3; H335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9945BD" w:rsidRPr="00D90454" w:rsidRDefault="009945BD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</w:t>
            </w:r>
            <w:r w:rsidR="00343957">
              <w:rPr>
                <w:lang w:val="sv"/>
              </w:rPr>
              <w:t xml:space="preserve">, GHS07; Jag hoppas; H332, H225, H319; </w:t>
            </w:r>
            <w:r>
              <w:rPr>
                <w:lang w:val="sv"/>
              </w:rPr>
              <w:t>EUH066, H335</w:t>
            </w:r>
          </w:p>
        </w:tc>
        <w:tc>
          <w:tcPr>
            <w:tcW w:w="1530" w:type="dxa"/>
          </w:tcPr>
          <w:p w:rsidR="0031481A" w:rsidRPr="00021D0E" w:rsidRDefault="009945BD" w:rsidP="00343957">
            <w:pPr>
              <w:pStyle w:val="Ingetavstnd"/>
              <w:jc w:val="center"/>
            </w:pPr>
            <w:r>
              <w:rPr>
                <w:lang w:val="sv"/>
              </w:rPr>
              <w:t>5-10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2-BUTOXYETHYL acetat</w:t>
            </w:r>
          </w:p>
        </w:tc>
        <w:tc>
          <w:tcPr>
            <w:tcW w:w="2250" w:type="dxa"/>
          </w:tcPr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Vi: 203-933-3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CAS: 112-07-2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Index nr: 607-038-00-2 </w:t>
            </w:r>
          </w:p>
          <w:p w:rsidR="0031481A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Xn; R20/21</w:t>
            </w:r>
          </w:p>
          <w:p w:rsidR="0031481A" w:rsidRPr="00D90454" w:rsidRDefault="0031481A" w:rsidP="00343957">
            <w:pPr>
              <w:pStyle w:val="Ingetavstnd"/>
              <w:rPr>
                <w:lang w:val="sv-SE"/>
              </w:rPr>
            </w:pPr>
          </w:p>
          <w:p w:rsidR="00343957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</w:t>
            </w:r>
            <w:r w:rsidR="00343957">
              <w:rPr>
                <w:lang w:val="sv"/>
              </w:rPr>
              <w:t>272/2008/vi:</w:t>
            </w:r>
            <w:r w:rsidR="00343957">
              <w:rPr>
                <w:lang w:val="sv"/>
              </w:rPr>
              <w:br/>
              <w:t xml:space="preserve">Akut Tox. 4; H332; </w:t>
            </w:r>
            <w:r>
              <w:rPr>
                <w:lang w:val="sv"/>
              </w:rPr>
              <w:t>Akut Tox. 4; H312</w:t>
            </w:r>
            <w:r>
              <w:rPr>
                <w:lang w:val="sv"/>
              </w:rPr>
              <w:br/>
              <w:t>Märkning:</w:t>
            </w:r>
          </w:p>
          <w:p w:rsidR="009945BD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 xml:space="preserve"> GHS07; WNG; H332, H312,</w:t>
            </w:r>
          </w:p>
        </w:tc>
        <w:tc>
          <w:tcPr>
            <w:tcW w:w="1530" w:type="dxa"/>
          </w:tcPr>
          <w:p w:rsidR="0031481A" w:rsidRPr="00021D0E" w:rsidRDefault="009945BD" w:rsidP="00343957">
            <w:pPr>
              <w:pStyle w:val="Ingetavstnd"/>
              <w:jc w:val="center"/>
            </w:pPr>
            <w:r>
              <w:rPr>
                <w:lang w:val="sv"/>
              </w:rPr>
              <w:t>2-3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Etylalkohol</w:t>
            </w:r>
          </w:p>
        </w:tc>
        <w:tc>
          <w:tcPr>
            <w:tcW w:w="2250" w:type="dxa"/>
          </w:tcPr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Vi: 202-849-4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CAS: 100-41-4 </w:t>
            </w:r>
          </w:p>
          <w:p w:rsidR="0031481A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Index nr: 601-023-00-4 registrering Nej:-</w:t>
            </w:r>
          </w:p>
        </w:tc>
        <w:tc>
          <w:tcPr>
            <w:tcW w:w="3960" w:type="dxa"/>
          </w:tcPr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</w:t>
            </w:r>
            <w:r>
              <w:rPr>
                <w:lang w:val="sv"/>
              </w:rPr>
              <w:br/>
              <w:t>F; R11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Xn; R20</w:t>
            </w:r>
          </w:p>
          <w:p w:rsidR="00FB0E22" w:rsidRPr="00D90454" w:rsidRDefault="00FB0E22" w:rsidP="00343957">
            <w:pPr>
              <w:pStyle w:val="Ingetavstnd"/>
              <w:rPr>
                <w:lang w:val="sv-SE"/>
              </w:rPr>
            </w:pP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</w:t>
            </w:r>
            <w:r w:rsidR="00343957">
              <w:rPr>
                <w:lang w:val="sv"/>
              </w:rPr>
              <w:t>272/2008/vi:</w:t>
            </w:r>
            <w:r w:rsidR="00343957">
              <w:rPr>
                <w:lang w:val="sv"/>
              </w:rPr>
              <w:br/>
              <w:t xml:space="preserve">Flam. Vätskor. 2; H225; </w:t>
            </w:r>
            <w:r>
              <w:rPr>
                <w:lang w:val="sv"/>
              </w:rPr>
              <w:t>Akut Tox. 4; H332</w:t>
            </w:r>
            <w:r>
              <w:rPr>
                <w:lang w:val="sv"/>
              </w:rPr>
              <w:br/>
              <w:t>Märkning:</w:t>
            </w:r>
          </w:p>
          <w:p w:rsidR="009945BD" w:rsidRPr="00D90454" w:rsidRDefault="009945BD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GHS02, GHS07; Jag hoppas; H225, H332</w:t>
            </w:r>
          </w:p>
        </w:tc>
        <w:tc>
          <w:tcPr>
            <w:tcW w:w="1530" w:type="dxa"/>
          </w:tcPr>
          <w:p w:rsidR="0031481A" w:rsidRPr="00021D0E" w:rsidRDefault="009945BD" w:rsidP="00343957">
            <w:pPr>
              <w:pStyle w:val="Ingetavstnd"/>
              <w:jc w:val="center"/>
            </w:pPr>
            <w:r>
              <w:rPr>
                <w:lang w:val="sv"/>
              </w:rPr>
              <w:t>2-3</w:t>
            </w:r>
          </w:p>
        </w:tc>
      </w:tr>
      <w:tr w:rsidR="009945BD" w:rsidRPr="00021D0E" w:rsidTr="00C84BAD">
        <w:tc>
          <w:tcPr>
            <w:tcW w:w="1620" w:type="dxa"/>
            <w:vAlign w:val="center"/>
          </w:tcPr>
          <w:p w:rsidR="009945BD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Metyl-</w:t>
            </w:r>
          </w:p>
        </w:tc>
        <w:tc>
          <w:tcPr>
            <w:tcW w:w="2250" w:type="dxa"/>
          </w:tcPr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Vi: 201-297-1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lastRenderedPageBreak/>
              <w:t xml:space="preserve">CAS: 80-62-6 </w:t>
            </w:r>
          </w:p>
          <w:p w:rsidR="009945BD" w:rsidRPr="009945BD" w:rsidRDefault="009945BD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Index nr: 607-035-00-6 registrering Nej:-</w:t>
            </w:r>
          </w:p>
        </w:tc>
        <w:tc>
          <w:tcPr>
            <w:tcW w:w="3960" w:type="dxa"/>
          </w:tcPr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lastRenderedPageBreak/>
              <w:t xml:space="preserve">Klassificering 67/548/EWG: F; R11 XI; </w:t>
            </w:r>
            <w:r>
              <w:rPr>
                <w:lang w:val="sv"/>
              </w:rPr>
              <w:lastRenderedPageBreak/>
              <w:t>R37/38 R43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1272/2008/vi: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Flam. fl. 2; H225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Specifik organtoxicitet se 3; H335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Hudirritation. 2; H315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Skin Sense. 1; H317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GHS08, GHS07; Jag hoppas; H225, H335, H315, H317</w:t>
            </w:r>
          </w:p>
        </w:tc>
        <w:tc>
          <w:tcPr>
            <w:tcW w:w="1530" w:type="dxa"/>
          </w:tcPr>
          <w:p w:rsidR="009945BD" w:rsidRPr="00021D0E" w:rsidRDefault="009945BD" w:rsidP="00343957">
            <w:pPr>
              <w:pStyle w:val="Ingetavstnd"/>
              <w:jc w:val="center"/>
            </w:pPr>
            <w:r>
              <w:rPr>
                <w:lang w:val="sv"/>
              </w:rPr>
              <w:lastRenderedPageBreak/>
              <w:t>&lt; 1</w:t>
            </w:r>
          </w:p>
        </w:tc>
      </w:tr>
      <w:tr w:rsidR="009945BD" w:rsidRPr="00021D0E" w:rsidTr="00C84BAD">
        <w:tc>
          <w:tcPr>
            <w:tcW w:w="1620" w:type="dxa"/>
            <w:vAlign w:val="center"/>
          </w:tcPr>
          <w:p w:rsidR="009945BD" w:rsidRPr="005A7868" w:rsidRDefault="009945BD" w:rsidP="005A7868">
            <w:pPr>
              <w:pStyle w:val="Ingetavstnd"/>
            </w:pPr>
            <w:r w:rsidRPr="00D90454">
              <w:t>-3-(3-2H-vara nzotriazo l-2-yl)-5-ferf-butyl-4-</w:t>
            </w:r>
          </w:p>
          <w:p w:rsidR="009945BD" w:rsidRPr="00C06A29" w:rsidRDefault="009945BD" w:rsidP="005A7868">
            <w:pPr>
              <w:pStyle w:val="Ingetavstnd"/>
              <w:rPr>
                <w:rFonts w:eastAsia="Arial" w:cs="Arial"/>
              </w:rPr>
            </w:pPr>
            <w:r w:rsidRPr="00D90454">
              <w:t>hydroxifenyl) Propionyl-i-hydroxypoly (oxyethylene)</w:t>
            </w:r>
          </w:p>
        </w:tc>
        <w:tc>
          <w:tcPr>
            <w:tcW w:w="2250" w:type="dxa"/>
          </w:tcPr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 xml:space="preserve">Vi: 400-830-7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>CAS: 104810-48-2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>Index nr: 607-176-00-3 registrering Nej:-</w:t>
            </w:r>
          </w:p>
          <w:p w:rsidR="009945BD" w:rsidRDefault="009945BD" w:rsidP="00343957">
            <w:pPr>
              <w:pStyle w:val="Ingetavstnd"/>
            </w:pPr>
          </w:p>
          <w:p w:rsidR="009945BD" w:rsidRPr="009945BD" w:rsidRDefault="009945BD" w:rsidP="00343957">
            <w:pPr>
              <w:pStyle w:val="Ingetavstnd"/>
            </w:pPr>
          </w:p>
        </w:tc>
        <w:tc>
          <w:tcPr>
            <w:tcW w:w="3960" w:type="dxa"/>
          </w:tcPr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XI, R43 N, R51/53</w:t>
            </w:r>
          </w:p>
          <w:p w:rsidR="009945BD" w:rsidRPr="00D90454" w:rsidRDefault="009945BD" w:rsidP="00343957">
            <w:pPr>
              <w:pStyle w:val="Ingetavstnd"/>
              <w:rPr>
                <w:lang w:val="sv-SE"/>
              </w:rPr>
            </w:pPr>
          </w:p>
          <w:p w:rsidR="00343957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1272/2008/vi:</w:t>
            </w:r>
          </w:p>
          <w:p w:rsidR="00343957" w:rsidRPr="00D90454" w:rsidRDefault="009945BD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Skin Sens. 1; H317 Aquatic kronisk 2; H411 </w:t>
            </w:r>
          </w:p>
          <w:p w:rsidR="009945BD" w:rsidRDefault="009945BD" w:rsidP="00343957">
            <w:pPr>
              <w:pStyle w:val="Ingetavstnd"/>
            </w:pPr>
            <w:r>
              <w:rPr>
                <w:lang w:val="sv"/>
              </w:rPr>
              <w:t>Märkning:</w:t>
            </w:r>
          </w:p>
          <w:p w:rsidR="009945BD" w:rsidRPr="009945BD" w:rsidRDefault="009945BD" w:rsidP="00343957">
            <w:pPr>
              <w:pStyle w:val="Ingetavstnd"/>
            </w:pPr>
            <w:r w:rsidRPr="00D90454">
              <w:t>GHS07; GHS09; WNG,; H317, H411</w:t>
            </w:r>
          </w:p>
        </w:tc>
        <w:tc>
          <w:tcPr>
            <w:tcW w:w="1530" w:type="dxa"/>
          </w:tcPr>
          <w:p w:rsidR="009945BD" w:rsidRPr="00021D0E" w:rsidRDefault="009945BD" w:rsidP="00343957">
            <w:pPr>
              <w:pStyle w:val="Ingetavstnd"/>
              <w:jc w:val="center"/>
            </w:pPr>
            <w:r>
              <w:rPr>
                <w:lang w:val="sv"/>
              </w:rPr>
              <w:t>&lt; 0,4</w:t>
            </w:r>
          </w:p>
        </w:tc>
      </w:tr>
      <w:tr w:rsidR="009945BD" w:rsidRPr="00021D0E" w:rsidTr="00C84BAD">
        <w:tc>
          <w:tcPr>
            <w:tcW w:w="1620" w:type="dxa"/>
            <w:vAlign w:val="center"/>
          </w:tcPr>
          <w:p w:rsidR="009945BD" w:rsidRPr="00021D0E" w:rsidRDefault="00FB3670" w:rsidP="00343957">
            <w:pPr>
              <w:pStyle w:val="Ingetavstnd"/>
            </w:pPr>
            <w:r w:rsidRPr="00D90454">
              <w:t>-3-(2H-bensotriazol-2-yl) -5-Enter-butyl-4-hydroxifenyl) Propionyl)-Omega-3-(3-2H-bens-triazol-2-yl)-5-Enter-butyl-4-hydroxifenyl)</w:t>
            </w:r>
          </w:p>
        </w:tc>
        <w:tc>
          <w:tcPr>
            <w:tcW w:w="2250" w:type="dxa"/>
          </w:tcPr>
          <w:p w:rsidR="00FB3670" w:rsidRDefault="00FB3670" w:rsidP="00343957">
            <w:pPr>
              <w:pStyle w:val="Ingetavstnd"/>
            </w:pPr>
            <w:r>
              <w:rPr>
                <w:lang w:val="sv"/>
              </w:rPr>
              <w:t xml:space="preserve">Vi: 400-830-7 </w:t>
            </w:r>
          </w:p>
          <w:p w:rsidR="00FB3670" w:rsidRDefault="00FB3670" w:rsidP="00343957">
            <w:pPr>
              <w:pStyle w:val="Ingetavstnd"/>
            </w:pPr>
            <w:r>
              <w:rPr>
                <w:lang w:val="sv"/>
              </w:rPr>
              <w:t xml:space="preserve">CAS: 104810-47-1 </w:t>
            </w:r>
          </w:p>
          <w:p w:rsidR="00FB3670" w:rsidRDefault="00FB3670" w:rsidP="00343957">
            <w:pPr>
              <w:pStyle w:val="Ingetavstnd"/>
            </w:pPr>
            <w:r>
              <w:rPr>
                <w:lang w:val="sv"/>
              </w:rPr>
              <w:t>Index nr: 607-176-00-3</w:t>
            </w:r>
          </w:p>
          <w:p w:rsidR="00FB3670" w:rsidRDefault="00FB3670" w:rsidP="00343957">
            <w:pPr>
              <w:pStyle w:val="Ingetavstnd"/>
            </w:pPr>
            <w:r>
              <w:rPr>
                <w:lang w:val="sv"/>
              </w:rPr>
              <w:t xml:space="preserve"> Registrering Nej:-</w:t>
            </w:r>
          </w:p>
          <w:p w:rsidR="009945BD" w:rsidRPr="00021D0E" w:rsidRDefault="009945BD" w:rsidP="00343957">
            <w:pPr>
              <w:pStyle w:val="Ingetavstnd"/>
            </w:pPr>
          </w:p>
        </w:tc>
        <w:tc>
          <w:tcPr>
            <w:tcW w:w="3960" w:type="dxa"/>
          </w:tcPr>
          <w:p w:rsidR="009945BD" w:rsidRPr="00D90454" w:rsidRDefault="00FB367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XI, R43 N, R51/53</w:t>
            </w:r>
          </w:p>
          <w:p w:rsidR="00FB3670" w:rsidRPr="00D90454" w:rsidRDefault="00FB3670" w:rsidP="00343957">
            <w:pPr>
              <w:pStyle w:val="Ingetavstnd"/>
              <w:rPr>
                <w:lang w:val="sv-SE"/>
              </w:rPr>
            </w:pPr>
          </w:p>
          <w:p w:rsidR="00FB3670" w:rsidRPr="00D90454" w:rsidRDefault="00FB367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</w:t>
            </w:r>
            <w:r w:rsidR="00343957">
              <w:rPr>
                <w:lang w:val="sv"/>
              </w:rPr>
              <w:t>272/2008/vi:</w:t>
            </w:r>
            <w:r w:rsidR="00343957">
              <w:rPr>
                <w:lang w:val="sv"/>
              </w:rPr>
              <w:br/>
              <w:t xml:space="preserve">Skin Sens. 1; H317; </w:t>
            </w:r>
            <w:r>
              <w:rPr>
                <w:lang w:val="sv"/>
              </w:rPr>
              <w:t>Akvatisk kronisk 2; H411</w:t>
            </w:r>
            <w:r>
              <w:rPr>
                <w:lang w:val="sv"/>
              </w:rPr>
              <w:br/>
              <w:t>Märkning:</w:t>
            </w:r>
          </w:p>
          <w:p w:rsidR="00FB3670" w:rsidRPr="00FB3670" w:rsidRDefault="00FB3670" w:rsidP="00343957">
            <w:pPr>
              <w:pStyle w:val="Ingetavstnd"/>
              <w:rPr>
                <w:rFonts w:eastAsia="Arial" w:cs="Arial"/>
              </w:rPr>
            </w:pPr>
            <w:r w:rsidRPr="00D90454">
              <w:t>GHS07; GHS09; WNG,; H317, H411</w:t>
            </w:r>
          </w:p>
        </w:tc>
        <w:tc>
          <w:tcPr>
            <w:tcW w:w="1530" w:type="dxa"/>
          </w:tcPr>
          <w:p w:rsidR="009945BD" w:rsidRPr="00021D0E" w:rsidRDefault="00FB3670" w:rsidP="00343957">
            <w:pPr>
              <w:pStyle w:val="Ingetavstnd"/>
              <w:jc w:val="center"/>
            </w:pPr>
            <w:r>
              <w:rPr>
                <w:lang w:val="sv"/>
              </w:rPr>
              <w:t>&lt; 0,25</w:t>
            </w:r>
          </w:p>
        </w:tc>
      </w:tr>
      <w:tr w:rsidR="00623D9E" w:rsidRPr="00021D0E" w:rsidTr="00C84BAD">
        <w:tc>
          <w:tcPr>
            <w:tcW w:w="1620" w:type="dxa"/>
            <w:vAlign w:val="center"/>
          </w:tcPr>
          <w:p w:rsidR="0031481A" w:rsidRPr="00FB3670" w:rsidRDefault="00FB367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Att(1, 2, 2, 6, 6-pentametyl-4-piperidyl) sebacat</w:t>
            </w:r>
          </w:p>
        </w:tc>
        <w:tc>
          <w:tcPr>
            <w:tcW w:w="2250" w:type="dxa"/>
          </w:tcPr>
          <w:p w:rsidR="005E23F6" w:rsidRDefault="005E23F6" w:rsidP="00343957">
            <w:pPr>
              <w:pStyle w:val="Ingetavstnd"/>
            </w:pPr>
            <w:r>
              <w:rPr>
                <w:lang w:val="sv"/>
              </w:rPr>
              <w:t xml:space="preserve">Vi: 255-437-1 CAS: 41556-26-7 </w:t>
            </w:r>
          </w:p>
          <w:p w:rsidR="005E23F6" w:rsidRDefault="005E23F6" w:rsidP="00343957">
            <w:pPr>
              <w:pStyle w:val="Ingetavstnd"/>
            </w:pPr>
            <w:r>
              <w:rPr>
                <w:lang w:val="sv"/>
              </w:rPr>
              <w:t>Index nr:-</w:t>
            </w:r>
          </w:p>
          <w:p w:rsidR="0031481A" w:rsidRPr="00021D0E" w:rsidRDefault="005E23F6" w:rsidP="00343957">
            <w:pPr>
              <w:pStyle w:val="Ingetavstnd"/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</w:t>
            </w:r>
            <w:r>
              <w:rPr>
                <w:lang w:val="sv"/>
              </w:rPr>
              <w:br/>
              <w:t>XI, N</w:t>
            </w:r>
            <w:r w:rsidR="00343957">
              <w:rPr>
                <w:lang w:val="sv"/>
              </w:rPr>
              <w:t xml:space="preserve">; </w:t>
            </w:r>
            <w:r>
              <w:rPr>
                <w:lang w:val="sv"/>
              </w:rPr>
              <w:t>R: 43, R50/53</w:t>
            </w:r>
          </w:p>
          <w:p w:rsidR="0031481A" w:rsidRPr="00D90454" w:rsidRDefault="0031481A" w:rsidP="00343957">
            <w:pPr>
              <w:pStyle w:val="Ingetavstnd"/>
              <w:rPr>
                <w:lang w:val="sv-SE"/>
              </w:rPr>
            </w:pPr>
          </w:p>
          <w:p w:rsidR="005E23F6" w:rsidRPr="005E23F6" w:rsidRDefault="005E23F6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Klassificering 1272/2008/vi: —</w:t>
            </w:r>
          </w:p>
        </w:tc>
        <w:tc>
          <w:tcPr>
            <w:tcW w:w="1530" w:type="dxa"/>
          </w:tcPr>
          <w:p w:rsidR="0031481A" w:rsidRPr="00021D0E" w:rsidRDefault="005E23F6" w:rsidP="00343957">
            <w:pPr>
              <w:pStyle w:val="Ingetavstnd"/>
              <w:jc w:val="center"/>
            </w:pPr>
            <w:r>
              <w:rPr>
                <w:lang w:val="sv"/>
              </w:rPr>
              <w:t>&lt; 0,3</w:t>
            </w:r>
          </w:p>
        </w:tc>
      </w:tr>
      <w:tr w:rsidR="00FB3670" w:rsidRPr="00021D0E" w:rsidTr="00C84BAD">
        <w:tc>
          <w:tcPr>
            <w:tcW w:w="1620" w:type="dxa"/>
            <w:vAlign w:val="center"/>
          </w:tcPr>
          <w:p w:rsidR="00FB3670" w:rsidRPr="00D90454" w:rsidRDefault="005E23F6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Lösningsmedel Nafta (petroleum), lätt arom.</w:t>
            </w:r>
          </w:p>
        </w:tc>
        <w:tc>
          <w:tcPr>
            <w:tcW w:w="2250" w:type="dxa"/>
          </w:tcPr>
          <w:p w:rsidR="005E23F6" w:rsidRDefault="005E23F6" w:rsidP="00343957">
            <w:pPr>
              <w:pStyle w:val="Ingetavstnd"/>
            </w:pPr>
            <w:r>
              <w:rPr>
                <w:lang w:val="sv"/>
              </w:rPr>
              <w:t xml:space="preserve">Vi: 265-199-0 </w:t>
            </w:r>
          </w:p>
          <w:p w:rsidR="005E23F6" w:rsidRDefault="005E23F6" w:rsidP="00343957">
            <w:pPr>
              <w:pStyle w:val="Ingetavstnd"/>
            </w:pPr>
            <w:r>
              <w:rPr>
                <w:lang w:val="sv"/>
              </w:rPr>
              <w:t xml:space="preserve">CAS: 64742-95-6 </w:t>
            </w:r>
          </w:p>
          <w:p w:rsidR="005E23F6" w:rsidRDefault="005E23F6" w:rsidP="00343957">
            <w:pPr>
              <w:pStyle w:val="Ingetavstnd"/>
            </w:pPr>
            <w:r>
              <w:rPr>
                <w:lang w:val="sv"/>
              </w:rPr>
              <w:t>Index nr: 649-356-00-4</w:t>
            </w:r>
          </w:p>
          <w:p w:rsidR="00FB3670" w:rsidRPr="005E23F6" w:rsidRDefault="005E23F6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</w:t>
            </w:r>
          </w:p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Anmärkning H och anmärkning P innehåller mindre än 0,1 viktprocent bensen (Einecs-nr 200-753-7) R10</w:t>
            </w:r>
          </w:p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Xn; 65 XI; R37 N; R51/53 R66-67</w:t>
            </w:r>
          </w:p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</w:p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1272/2008/vi:</w:t>
            </w:r>
          </w:p>
          <w:p w:rsidR="00FB3670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Vård. 1b; H350</w:t>
            </w:r>
            <w:r w:rsidR="00C84BAD">
              <w:rPr>
                <w:lang w:val="sv"/>
              </w:rPr>
              <w:t xml:space="preserve">; </w:t>
            </w:r>
            <w:r>
              <w:rPr>
                <w:lang w:val="sv"/>
              </w:rPr>
              <w:t>Muta. 1b; H340</w:t>
            </w:r>
            <w:r w:rsidR="00C84BAD">
              <w:rPr>
                <w:lang w:val="sv"/>
              </w:rPr>
              <w:t xml:space="preserve">; </w:t>
            </w:r>
            <w:r>
              <w:rPr>
                <w:lang w:val="sv"/>
              </w:rPr>
              <w:t>ASP. Tox. 1; H304</w:t>
            </w:r>
          </w:p>
          <w:p w:rsidR="005E23F6" w:rsidRPr="00D90454" w:rsidRDefault="005E23F6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5E23F6" w:rsidRPr="00D90454" w:rsidRDefault="00A751B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GHS08; Jag hoppas; H350; H304</w:t>
            </w:r>
          </w:p>
        </w:tc>
        <w:tc>
          <w:tcPr>
            <w:tcW w:w="1530" w:type="dxa"/>
          </w:tcPr>
          <w:p w:rsidR="00FB3670" w:rsidRPr="00021D0E" w:rsidRDefault="005E23F6" w:rsidP="00343957">
            <w:pPr>
              <w:pStyle w:val="Ingetavstnd"/>
              <w:jc w:val="center"/>
            </w:pPr>
            <w:r>
              <w:rPr>
                <w:lang w:val="sv"/>
              </w:rPr>
              <w:t>&lt; 0,3</w:t>
            </w:r>
          </w:p>
        </w:tc>
      </w:tr>
    </w:tbl>
    <w:p w:rsidR="0031481A" w:rsidRPr="00D90454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D90454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D90454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4.1.</w:t>
      </w:r>
      <w:r w:rsidR="00861A71" w:rsidRPr="0061684B">
        <w:rPr>
          <w:b/>
          <w:lang w:val="sv"/>
        </w:rPr>
        <w:t>Beskrivning av första hjälpen-åtgärder:</w:t>
      </w:r>
      <w:bookmarkEnd w:id="3"/>
    </w:p>
    <w:p w:rsidR="00861A71" w:rsidRPr="00D90454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D90454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D90454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D90454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D90454" w:rsidRDefault="0061684B" w:rsidP="0061684B">
      <w:pPr>
        <w:pStyle w:val="Ingetavstnd"/>
        <w:rPr>
          <w:lang w:val="sv-SE"/>
        </w:rPr>
      </w:pPr>
    </w:p>
    <w:p w:rsidR="00861A71" w:rsidRPr="00D90454" w:rsidRDefault="00861A71" w:rsidP="005A7868">
      <w:pPr>
        <w:pStyle w:val="Ingetavstnd"/>
        <w:keepNext/>
        <w:rPr>
          <w:lang w:val="sv-SE"/>
        </w:rPr>
      </w:pPr>
      <w:r w:rsidRPr="00602E56">
        <w:rPr>
          <w:lang w:val="sv"/>
        </w:rPr>
        <w:t>Ögon:</w:t>
      </w:r>
    </w:p>
    <w:p w:rsidR="00861A71" w:rsidRPr="00D90454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D90454" w:rsidRDefault="0061684B" w:rsidP="0061684B">
      <w:pPr>
        <w:pStyle w:val="Ingetavstnd"/>
        <w:jc w:val="both"/>
        <w:rPr>
          <w:lang w:val="sv-SE"/>
        </w:rPr>
      </w:pPr>
    </w:p>
    <w:p w:rsidR="00861A71" w:rsidRPr="00D90454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D90454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 xml:space="preserve">-2 glas varmt vatten kalla en </w:t>
      </w:r>
      <w:r w:rsidRPr="00602E56">
        <w:rPr>
          <w:lang w:val="sv"/>
        </w:rPr>
        <w:t>läkare.</w:t>
      </w:r>
    </w:p>
    <w:p w:rsidR="0061684B" w:rsidRPr="00D90454" w:rsidRDefault="0061684B" w:rsidP="0061684B">
      <w:pPr>
        <w:pStyle w:val="Ingetavstnd"/>
        <w:rPr>
          <w:lang w:val="sv-SE"/>
        </w:rPr>
      </w:pPr>
    </w:p>
    <w:p w:rsidR="00861A71" w:rsidRPr="00D90454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D90454" w:rsidRDefault="0061684B" w:rsidP="0061684B">
      <w:pPr>
        <w:pStyle w:val="Ingetavstnd"/>
        <w:rPr>
          <w:lang w:val="sv-SE"/>
        </w:rPr>
      </w:pPr>
    </w:p>
    <w:p w:rsidR="00861A71" w:rsidRPr="00D90454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4.2.</w:t>
      </w:r>
      <w:r w:rsidR="00861A71" w:rsidRPr="0061684B">
        <w:rPr>
          <w:b/>
          <w:lang w:val="sv"/>
        </w:rPr>
        <w:t>Mest viktiga symtom och effekter, både akuta och fördröjda</w:t>
      </w:r>
      <w:bookmarkEnd w:id="4"/>
    </w:p>
    <w:p w:rsidR="00861A71" w:rsidRPr="00D90454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D90454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4.3.</w:t>
      </w:r>
      <w:r w:rsidR="00861A71" w:rsidRPr="0061684B">
        <w:rPr>
          <w:b/>
          <w:lang w:val="sv"/>
        </w:rPr>
        <w:t>Indikationer omedelbar läkarvård och särskild behandling krävs</w:t>
      </w:r>
      <w:bookmarkEnd w:id="5"/>
    </w:p>
    <w:p w:rsidR="00861A71" w:rsidRPr="00D90454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Det bör finnas möjlighet till specialist-och direkt stöd på arbetsplatsen.</w:t>
      </w:r>
    </w:p>
    <w:p w:rsidR="004619ED" w:rsidRPr="00D90454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5.1.</w:t>
      </w:r>
      <w:r w:rsidR="00861A71" w:rsidRPr="0061684B">
        <w:rPr>
          <w:b/>
          <w:lang w:val="sv"/>
        </w:rPr>
        <w:t>Släcknings Media</w:t>
      </w:r>
      <w:bookmarkEnd w:id="6"/>
    </w:p>
    <w:p w:rsidR="00861A71" w:rsidRPr="00D90454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D90454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5.2.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D90454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D90454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5.3.</w:t>
      </w:r>
      <w:r w:rsidR="00861A71" w:rsidRPr="0061684B">
        <w:rPr>
          <w:b/>
          <w:lang w:val="sv"/>
        </w:rPr>
        <w:t>Råd för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6.1.</w:t>
      </w:r>
      <w:r w:rsidR="00861A71" w:rsidRPr="00154D3F">
        <w:rPr>
          <w:b/>
          <w:lang w:val="sv"/>
        </w:rPr>
        <w:t>Personliga försiktighetsåtgärder, skyddsutrustning och nödförfaranden</w:t>
      </w:r>
      <w:bookmarkEnd w:id="9"/>
    </w:p>
    <w:p w:rsidR="00861A71" w:rsidRPr="00D90454" w:rsidRDefault="00861A71" w:rsidP="001C580A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D90454" w:rsidRDefault="00861A71" w:rsidP="001C580A">
      <w:pPr>
        <w:pStyle w:val="Ingetavstnd"/>
        <w:jc w:val="both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>e frisläppt ämne</w:t>
      </w:r>
      <w:r w:rsidR="001C580A">
        <w:rPr>
          <w:lang w:val="sv"/>
        </w:rPr>
        <w:t>.</w:t>
      </w:r>
      <w:r w:rsidR="00154D3F">
        <w:rPr>
          <w:lang w:val="sv"/>
        </w:rPr>
        <w:t xml:space="preserve"> 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D90454" w:rsidRDefault="00154D3F" w:rsidP="00154D3F">
      <w:pPr>
        <w:pStyle w:val="Ingetavstnd"/>
        <w:rPr>
          <w:lang w:val="sv-SE"/>
        </w:rPr>
      </w:pPr>
    </w:p>
    <w:p w:rsidR="00861A71" w:rsidRPr="00D90454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D90454" w:rsidRDefault="00861A71" w:rsidP="001C580A">
      <w:pPr>
        <w:pStyle w:val="Ingetavstnd"/>
        <w:jc w:val="both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 skyddande </w:t>
      </w:r>
      <w:r w:rsidRPr="00602E56">
        <w:rPr>
          <w:lang w:val="sv"/>
        </w:rPr>
        <w:t>Glasögon och andningsapparat: gas mask med en typ absorbator.</w:t>
      </w:r>
    </w:p>
    <w:p w:rsidR="00861A71" w:rsidRPr="00D90454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6.2.</w:t>
      </w:r>
      <w:r w:rsidR="00861A71" w:rsidRPr="00154D3F">
        <w:rPr>
          <w:b/>
          <w:lang w:val="sv"/>
        </w:rPr>
        <w:t>Miljö åtgärder</w:t>
      </w:r>
      <w:bookmarkEnd w:id="10"/>
    </w:p>
    <w:p w:rsidR="00861A71" w:rsidRPr="00D90454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D90454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6.3.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861A71" w:rsidRPr="00D90454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Stoppa läckaget (Stäng vätske inflödet, tätningen), placera den skadade behållaren</w:t>
      </w:r>
      <w:r w:rsidR="00154D3F">
        <w:rPr>
          <w:lang w:val="sv"/>
        </w:rPr>
        <w:t xml:space="preserve">behållare, ta bort vätskan från </w:t>
      </w:r>
      <w:r w:rsidRPr="00602E56">
        <w:rPr>
          <w:lang w:val="sv"/>
        </w:rPr>
        <w:t xml:space="preserve">mekaniskt och placera den i en nöd behållare. I händelse av stort läckage, embank </w:t>
      </w:r>
      <w:r w:rsidR="00154D3F">
        <w:rPr>
          <w:lang w:val="sv"/>
        </w:rPr>
        <w:t xml:space="preserve">området. I händelse av små mängder, </w:t>
      </w:r>
      <w:r w:rsidRPr="00602E56">
        <w:rPr>
          <w:lang w:val="sv"/>
        </w:rPr>
        <w:t>samla in med hjälp av ett bindemedel (t. ex. glimmer, kiselgur jord, sand).</w:t>
      </w:r>
    </w:p>
    <w:p w:rsidR="00861A71" w:rsidRPr="00D90454" w:rsidRDefault="00154D3F" w:rsidP="00154D3F">
      <w:pPr>
        <w:pStyle w:val="Ingetavstnd"/>
        <w:rPr>
          <w:b/>
          <w:lang w:val="sv-SE"/>
        </w:rPr>
      </w:pPr>
      <w:bookmarkStart w:id="12" w:name="bookmark20"/>
      <w:r w:rsidRPr="00154D3F">
        <w:rPr>
          <w:b/>
          <w:lang w:val="sv"/>
        </w:rPr>
        <w:t>6.4.</w:t>
      </w:r>
      <w:r w:rsidR="00861A71" w:rsidRPr="00154D3F">
        <w:rPr>
          <w:b/>
          <w:lang w:val="sv"/>
        </w:rPr>
        <w:t>Referens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D90454" w:rsidRDefault="00154D3F" w:rsidP="00154D3F">
      <w:pPr>
        <w:pStyle w:val="Ingetavstnd"/>
        <w:jc w:val="both"/>
        <w:rPr>
          <w:b/>
          <w:lang w:val="sv-SE"/>
        </w:rPr>
      </w:pPr>
      <w:bookmarkStart w:id="13" w:name="bookmark22"/>
      <w:r w:rsidRPr="00154D3F">
        <w:rPr>
          <w:b/>
          <w:lang w:val="sv"/>
        </w:rPr>
        <w:t>7.1.</w:t>
      </w:r>
      <w:r w:rsidR="00861A71" w:rsidRPr="00154D3F">
        <w:rPr>
          <w:b/>
          <w:lang w:val="sv"/>
        </w:rPr>
        <w:t>Åtgärder för säker hantering</w:t>
      </w:r>
      <w:bookmarkEnd w:id="13"/>
    </w:p>
    <w:p w:rsidR="00861A71" w:rsidRPr="00D90454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Använda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D90454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7.2.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D90454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av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D90454" w:rsidRDefault="00154D3F" w:rsidP="001C580A">
      <w:pPr>
        <w:pStyle w:val="Ingetavstnd"/>
        <w:keepNext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lastRenderedPageBreak/>
        <w:t>7.3.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D90454" w:rsidRDefault="007B41CF" w:rsidP="00154D3F">
      <w:pPr>
        <w:pStyle w:val="Ingetavstnd"/>
        <w:jc w:val="both"/>
        <w:rPr>
          <w:lang w:val="sv-SE"/>
        </w:rPr>
      </w:pPr>
      <w:r>
        <w:rPr>
          <w:lang w:val="sv"/>
        </w:rPr>
        <w:t>Acryl klarlack</w:t>
      </w:r>
      <w:r w:rsidR="00861A71" w:rsidRPr="00602E56">
        <w:rPr>
          <w:lang w:val="sv"/>
        </w:rPr>
        <w:t xml:space="preserve"> (komponent a) för applicering med </w:t>
      </w:r>
      <w:r w:rsidR="00154D3F">
        <w:rPr>
          <w:lang w:val="sv"/>
        </w:rPr>
        <w:t xml:space="preserve">en spray pistol. För professionellt bruk i bil Refinish med hänsyn till </w:t>
      </w:r>
      <w:r w:rsidR="00861A71" w:rsidRPr="00602E56">
        <w:rPr>
          <w:lang w:val="sv"/>
        </w:rPr>
        <w:t>information som ingår i underavsnitten 7,1 och 7,2.</w:t>
      </w:r>
    </w:p>
    <w:p w:rsidR="00861A71" w:rsidRPr="00D90454" w:rsidRDefault="00861A71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D90454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D90454" w:rsidRDefault="007E44A6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MAK: 100ppm, MAK: 440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2 (11),DFG, H</w:t>
            </w:r>
          </w:p>
        </w:tc>
      </w:tr>
      <w:tr w:rsidR="00861A71" w:rsidRPr="00D90454" w:rsidTr="00021D0E">
        <w:tc>
          <w:tcPr>
            <w:tcW w:w="5328" w:type="dxa"/>
            <w:vAlign w:val="center"/>
          </w:tcPr>
          <w:p w:rsidR="00861A71" w:rsidRPr="00D90454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D90454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TWA 50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' 220mg/m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Stel 100ppm, 441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SK, BMGV</w:t>
            </w:r>
          </w:p>
        </w:tc>
      </w:tr>
      <w:tr w:rsidR="00861A71" w:rsidRPr="00D90454" w:rsidTr="00021D0E">
        <w:tc>
          <w:tcPr>
            <w:tcW w:w="8856" w:type="dxa"/>
            <w:gridSpan w:val="2"/>
            <w:vAlign w:val="center"/>
          </w:tcPr>
          <w:p w:rsidR="00861A71" w:rsidRPr="00D90454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D90454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D90454" w:rsidRDefault="007E44A6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MAK: ppm, MAK: 270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1 (1),DFGEU, Y</w:t>
            </w:r>
          </w:p>
        </w:tc>
      </w:tr>
      <w:tr w:rsidR="00861A71" w:rsidRPr="00D90454" w:rsidTr="00021D0E">
        <w:tc>
          <w:tcPr>
            <w:tcW w:w="5328" w:type="dxa"/>
            <w:vAlign w:val="center"/>
          </w:tcPr>
          <w:p w:rsidR="00861A71" w:rsidRPr="00D90454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D90454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TWA 50 ppm, 274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Stel 100ppm, 548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 CAS 123-86-4 enligt:</w:t>
            </w:r>
          </w:p>
        </w:tc>
      </w:tr>
      <w:tr w:rsidR="00861A71" w:rsidRPr="00D90454" w:rsidTr="00021D0E">
        <w:trPr>
          <w:trHeight w:val="30"/>
        </w:trPr>
        <w:tc>
          <w:tcPr>
            <w:tcW w:w="5328" w:type="dxa"/>
            <w:vAlign w:val="center"/>
          </w:tcPr>
          <w:p w:rsidR="00861A71" w:rsidRPr="00D90454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D90454" w:rsidRDefault="00A751B3" w:rsidP="00021D0E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TWA 150 ppm, 724 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Stel 200ppm, 966 mg/m</w:t>
            </w:r>
            <w:r>
              <w:rPr>
                <w:vertAlign w:val="superscript"/>
                <w:lang w:val="sv"/>
              </w:rPr>
              <w:t>3</w:t>
            </w:r>
          </w:p>
        </w:tc>
      </w:tr>
      <w:tr w:rsidR="00861A71" w:rsidRPr="00021D0E" w:rsidTr="00021D0E">
        <w:trPr>
          <w:trHeight w:val="30"/>
        </w:trPr>
        <w:tc>
          <w:tcPr>
            <w:tcW w:w="8856" w:type="dxa"/>
            <w:gridSpan w:val="2"/>
            <w:vAlign w:val="center"/>
          </w:tcPr>
          <w:p w:rsidR="00A751B3" w:rsidRDefault="00A751B3" w:rsidP="00343957">
            <w:pPr>
              <w:pStyle w:val="Ingetavstnd"/>
            </w:pPr>
            <w:r>
              <w:rPr>
                <w:lang w:val="sv"/>
              </w:rPr>
              <w:t>Butylglycol acetat CAS 112-07-2 enligt:</w:t>
            </w:r>
          </w:p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Butylglycol acetat CAS 112-07-2 enligt:</w:t>
            </w:r>
          </w:p>
        </w:tc>
      </w:tr>
      <w:tr w:rsidR="00861A71" w:rsidRPr="00D90454" w:rsidTr="00021D0E">
        <w:trPr>
          <w:trHeight w:val="30"/>
        </w:trPr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D90454" w:rsidRDefault="00A751B3" w:rsidP="00154D3F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MAK: ppm, MAK: 130 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4 (11) DFG, H, Y</w:t>
            </w:r>
          </w:p>
        </w:tc>
      </w:tr>
      <w:tr w:rsidR="00861A71" w:rsidRPr="00D90454" w:rsidTr="00021D0E">
        <w:trPr>
          <w:trHeight w:val="30"/>
        </w:trPr>
        <w:tc>
          <w:tcPr>
            <w:tcW w:w="5328" w:type="dxa"/>
            <w:vAlign w:val="center"/>
          </w:tcPr>
          <w:p w:rsidR="00861A71" w:rsidRPr="00D90454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D90454" w:rsidRDefault="00A751B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TWA 20 ppm, stel ppm, sk</w:t>
            </w:r>
          </w:p>
        </w:tc>
      </w:tr>
      <w:tr w:rsidR="00861A71" w:rsidRPr="00021D0E" w:rsidTr="00021D0E">
        <w:trPr>
          <w:trHeight w:val="30"/>
        </w:trPr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Ethylbenzen CAS 100-41-4 enligt:</w:t>
            </w:r>
          </w:p>
        </w:tc>
      </w:tr>
      <w:tr w:rsidR="00861A71" w:rsidRPr="00D90454" w:rsidTr="00021D0E">
        <w:trPr>
          <w:trHeight w:val="30"/>
        </w:trPr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D90454" w:rsidRDefault="00A751B3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MAK: 100ppm, MAK: 440 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2 (1),Hade, H</w:t>
            </w:r>
          </w:p>
        </w:tc>
      </w:tr>
      <w:tr w:rsidR="00861A71" w:rsidRPr="00D90454" w:rsidTr="00021D0E">
        <w:trPr>
          <w:trHeight w:val="30"/>
        </w:trPr>
        <w:tc>
          <w:tcPr>
            <w:tcW w:w="5328" w:type="dxa"/>
            <w:vAlign w:val="center"/>
          </w:tcPr>
          <w:p w:rsidR="00861A71" w:rsidRPr="00D90454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D90454" w:rsidRDefault="00A751B3" w:rsidP="00154D3F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TWA 100 ppm ' 441mg/m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Stel 125ppm, 552 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Sk</w:t>
            </w:r>
          </w:p>
        </w:tc>
      </w:tr>
    </w:tbl>
    <w:p w:rsidR="00861A71" w:rsidRPr="00D90454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D90454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D90454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D90454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D90454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7E44A6" w:rsidRPr="00D90454" w:rsidRDefault="007E44A6" w:rsidP="001509C9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nitrilgummi, </w:t>
      </w:r>
      <w:r w:rsidR="00756402">
        <w:rPr>
          <w:lang w:val="sv"/>
        </w:rPr>
        <w:t>0,4 mm tjock genomträngningstid &gt;</w:t>
      </w:r>
      <w:r w:rsidRPr="00602E56">
        <w:rPr>
          <w:lang w:val="sv"/>
        </w:rPr>
        <w:t>30 min)</w:t>
      </w:r>
    </w:p>
    <w:p w:rsidR="007E44A6" w:rsidRPr="00D90454" w:rsidRDefault="007E44A6" w:rsidP="00756402">
      <w:pPr>
        <w:pStyle w:val="Ingetavstnd"/>
        <w:rPr>
          <w:lang w:val="sv-SE"/>
        </w:rPr>
      </w:pPr>
      <w:r w:rsidRPr="00154D3F">
        <w:rPr>
          <w:b/>
          <w:lang w:val="sv"/>
        </w:rPr>
        <w:t>Ögonskydd:</w:t>
      </w:r>
      <w:r w:rsidRPr="00602E56">
        <w:rPr>
          <w:lang w:val="sv"/>
        </w:rPr>
        <w:br/>
        <w:t>Tighta skyddsglasögon.</w:t>
      </w:r>
    </w:p>
    <w:p w:rsidR="007E44A6" w:rsidRPr="00D90454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D90454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D90454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D90454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D90454" w:rsidRDefault="001C580A" w:rsidP="00861A71">
      <w:pPr>
        <w:pStyle w:val="Ingetavstnd"/>
        <w:ind w:left="720"/>
        <w:rPr>
          <w:szCs w:val="20"/>
          <w:lang w:val="sv-SE"/>
        </w:rPr>
      </w:pPr>
      <w:r>
        <w:rPr>
          <w:szCs w:val="20"/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D90454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Lukttröskel </w:t>
            </w:r>
          </w:p>
        </w:tc>
        <w:tc>
          <w:tcPr>
            <w:tcW w:w="6228" w:type="dxa"/>
          </w:tcPr>
          <w:p w:rsidR="007E44A6" w:rsidRPr="00021D0E" w:rsidRDefault="00A751B3" w:rsidP="00A751B3">
            <w:pPr>
              <w:pStyle w:val="Ingetavstnd"/>
            </w:pPr>
            <w:r>
              <w:rPr>
                <w:lang w:val="sv"/>
              </w:rPr>
              <w:t>0.9-9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A751B3" w:rsidP="00021D0E">
            <w:pPr>
              <w:pStyle w:val="Ingetavstnd"/>
            </w:pPr>
            <w:r>
              <w:rPr>
                <w:lang w:val="sv"/>
              </w:rPr>
              <w:t>120-130</w:t>
            </w:r>
            <w:r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2</w:t>
            </w:r>
            <w:r w:rsidR="00A751B3">
              <w:rPr>
                <w:lang w:val="sv"/>
              </w:rPr>
              <w:t>0</w:t>
            </w:r>
            <w:r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Ca. </w:t>
            </w:r>
            <w:r w:rsidR="00A751B3">
              <w:rPr>
                <w:lang w:val="sv"/>
              </w:rPr>
              <w:t>435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% botten: 1,1 vol% topp: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Ångtryck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6,6 hPa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)(Butan 1-OL)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D90454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Ångtäthet (När det gäller luft)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4,0 (butyl Acetate)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>ca 1.</w:t>
            </w:r>
            <w:r w:rsidR="00A751B3">
              <w:rPr>
                <w:lang w:val="sv"/>
              </w:rPr>
              <w:t>0</w:t>
            </w:r>
            <w:r w:rsidRPr="00021D0E">
              <w:rPr>
                <w:lang w:val="sv"/>
              </w:rPr>
              <w:t xml:space="preserve">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1,85 (butyl Acetate)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  <w:p w:rsidR="00E37855" w:rsidRDefault="00E37855" w:rsidP="00E37855">
            <w:pPr>
              <w:pStyle w:val="Ingetavstnd"/>
            </w:pPr>
            <w:r>
              <w:rPr>
                <w:lang w:val="sv"/>
              </w:rPr>
              <w:t>Organiska lösningsmedel</w:t>
            </w:r>
          </w:p>
          <w:p w:rsidR="00E37855" w:rsidRPr="00021D0E" w:rsidRDefault="00E37855" w:rsidP="00E37855">
            <w:pPr>
              <w:pStyle w:val="Ingetavstnd"/>
            </w:pPr>
            <w:r>
              <w:rPr>
                <w:lang w:val="sv"/>
              </w:rPr>
              <w:t>VOV (EG)</w:t>
            </w:r>
          </w:p>
        </w:tc>
        <w:tc>
          <w:tcPr>
            <w:tcW w:w="6228" w:type="dxa"/>
          </w:tcPr>
          <w:p w:rsidR="00D74496" w:rsidRDefault="00A751B3" w:rsidP="00756402">
            <w:pPr>
              <w:pStyle w:val="Ingetavstnd"/>
            </w:pPr>
            <w:r>
              <w:rPr>
                <w:lang w:val="sv"/>
              </w:rPr>
              <w:t>200s</w:t>
            </w:r>
          </w:p>
          <w:p w:rsidR="00E37855" w:rsidRDefault="00E37855" w:rsidP="00E37855">
            <w:pPr>
              <w:pStyle w:val="Ingetavstnd"/>
            </w:pPr>
            <w:r>
              <w:rPr>
                <w:lang w:val="sv"/>
              </w:rPr>
              <w:t>VOC-gräns (Cat. II/B/e) = 840g/l (färdig att applicera blandningen)</w:t>
            </w:r>
          </w:p>
          <w:p w:rsidR="00E37855" w:rsidRPr="00021D0E" w:rsidRDefault="00E37855" w:rsidP="00E37855">
            <w:pPr>
              <w:pStyle w:val="Ingetavstnd"/>
            </w:pPr>
            <w:r>
              <w:rPr>
                <w:lang w:val="sv"/>
              </w:rPr>
              <w:t>620 g/L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10.1.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602E56" w:rsidRDefault="00D74496" w:rsidP="00756402">
      <w:pPr>
        <w:pStyle w:val="Ingetavstnd"/>
      </w:pPr>
      <w:r w:rsidRPr="00602E56">
        <w:rPr>
          <w:lang w:val="sv"/>
        </w:rPr>
        <w:t>Produkten är inte reaktiv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602E56" w:rsidRDefault="00D74496" w:rsidP="00756402">
      <w:pPr>
        <w:pStyle w:val="Ingetavstnd"/>
      </w:pPr>
      <w:r w:rsidRPr="00602E56">
        <w:rPr>
          <w:lang w:val="sv"/>
        </w:rPr>
        <w:t>Produkten är stabil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D74496" w:rsidRPr="00D90454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756402" w:rsidRDefault="00756402" w:rsidP="00756402">
      <w:pPr>
        <w:pStyle w:val="Ingetavstnd"/>
        <w:rPr>
          <w:b/>
        </w:rPr>
      </w:pPr>
      <w:bookmarkStart w:id="22" w:name="bookmark37"/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602E56" w:rsidRDefault="00D74496" w:rsidP="00756402">
      <w:pPr>
        <w:pStyle w:val="Ingetavstnd"/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756402" w:rsidRDefault="00756402" w:rsidP="00756402">
      <w:pPr>
        <w:pStyle w:val="Ingetavstnd"/>
        <w:rPr>
          <w:b/>
        </w:rPr>
      </w:pPr>
      <w:bookmarkStart w:id="23" w:name="bookmark38"/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D90454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756402" w:rsidRDefault="00756402" w:rsidP="00756402">
      <w:pPr>
        <w:pStyle w:val="Ingetavstnd"/>
        <w:rPr>
          <w:b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D74496" w:rsidRPr="00D90454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D90454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Default="00497128" w:rsidP="00756402">
      <w:pPr>
        <w:pStyle w:val="Ingetavstnd"/>
        <w:jc w:val="both"/>
      </w:pPr>
      <w:r w:rsidRPr="00602E56">
        <w:rPr>
          <w:lang w:val="sv"/>
        </w:rPr>
        <w:t>Inga experimentella data finns tillgängliga på preparatet. Utvärderingen utfördes på grundval av uppgifter om farliga inqr-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530"/>
      </w:tblGrid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14000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9660</w:t>
            </w:r>
            <w:r w:rsidR="00475CB3"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="00475CB3" w:rsidRPr="00021D0E">
              <w:rPr>
                <w:lang w:val="sv"/>
              </w:rPr>
              <w:t>/</w:t>
            </w:r>
            <w:r>
              <w:rPr>
                <w:lang w:val="sv"/>
              </w:rPr>
              <w:t>8</w:t>
            </w:r>
            <w:r w:rsidR="00475CB3" w:rsidRPr="00021D0E">
              <w:rPr>
                <w:lang w:val="sv"/>
              </w:rPr>
              <w:t>h</w:t>
            </w:r>
          </w:p>
        </w:tc>
      </w:tr>
      <w:tr w:rsidR="00623D9E" w:rsidRPr="00021D0E" w:rsidTr="005A0BD3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  <w:tr w:rsidR="00623D9E" w:rsidRPr="00021D0E" w:rsidTr="005A0BD3">
        <w:tc>
          <w:tcPr>
            <w:tcW w:w="2898" w:type="dxa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Etylbensen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756402">
            <w:pPr>
              <w:pStyle w:val="Ingetavstnd"/>
            </w:pPr>
            <w:r>
              <w:rPr>
                <w:lang w:val="sv"/>
              </w:rPr>
              <w:t>3500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5A0BD3" w:rsidRPr="00021D0E" w:rsidTr="005A0BD3">
        <w:tc>
          <w:tcPr>
            <w:tcW w:w="2898" w:type="dxa"/>
          </w:tcPr>
          <w:p w:rsidR="005A0BD3" w:rsidRPr="00021D0E" w:rsidRDefault="005A0BD3" w:rsidP="00021D0E">
            <w:pPr>
              <w:pStyle w:val="Ingetavstnd"/>
            </w:pPr>
            <w:r>
              <w:rPr>
                <w:lang w:val="sv"/>
              </w:rPr>
              <w:lastRenderedPageBreak/>
              <w:t>2-BUTOXYETHYL acetat</w:t>
            </w:r>
          </w:p>
        </w:tc>
        <w:tc>
          <w:tcPr>
            <w:tcW w:w="2250" w:type="dxa"/>
          </w:tcPr>
          <w:p w:rsidR="005A0BD3" w:rsidRPr="00021D0E" w:rsidRDefault="005A0BD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5A0BD3" w:rsidRPr="00021D0E" w:rsidRDefault="005A0BD3" w:rsidP="00756402">
            <w:pPr>
              <w:pStyle w:val="Ingetavstnd"/>
              <w:rPr>
                <w:lang w:val="de-DE" w:eastAsia="de-DE"/>
              </w:rPr>
            </w:pPr>
            <w:r>
              <w:rPr>
                <w:lang w:val="sv"/>
              </w:rPr>
              <w:t>2400mg/kg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Isobutylacetat metyl keton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756402">
            <w:pPr>
              <w:pStyle w:val="Ingetavstnd"/>
            </w:pPr>
            <w:r>
              <w:rPr>
                <w:lang w:val="sv"/>
              </w:rPr>
              <w:t>2080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5A0BD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5A0BD3" w:rsidRDefault="005A0BD3" w:rsidP="005A0BD3">
            <w:pPr>
              <w:pStyle w:val="Ingetavstnd"/>
              <w:rPr>
                <w:vertAlign w:val="superscript"/>
              </w:rPr>
            </w:pPr>
            <w:r>
              <w:rPr>
                <w:lang w:val="sv"/>
              </w:rPr>
              <w:t>100</w:t>
            </w:r>
            <w:r w:rsidR="00475CB3" w:rsidRPr="00021D0E">
              <w:rPr>
                <w:lang w:val="sv"/>
              </w:rPr>
              <w:t xml:space="preserve"> mg/</w:t>
            </w:r>
            <w:r>
              <w:rPr>
                <w:lang w:val="sv"/>
              </w:rPr>
              <w:t>m</w:t>
            </w:r>
            <w:r>
              <w:rPr>
                <w:vertAlign w:val="superscript"/>
                <w:lang w:val="sv"/>
              </w:rPr>
              <w:t>3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756402" w:rsidRDefault="00756402" w:rsidP="00756402">
      <w:pPr>
        <w:pStyle w:val="Ingetavstnd"/>
        <w:rPr>
          <w:b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756402" w:rsidRDefault="00756402" w:rsidP="00756402">
      <w:pPr>
        <w:pStyle w:val="Ingetavstnd"/>
        <w:rPr>
          <w:b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5A0BD3" w:rsidRDefault="005A0BD3" w:rsidP="00343957">
      <w:pPr>
        <w:pStyle w:val="Ingetavstnd"/>
      </w:pPr>
      <w:bookmarkStart w:id="28" w:name="bookmark44"/>
      <w:r>
        <w:rPr>
          <w:lang w:val="sv"/>
        </w:rPr>
        <w:t>Kan ge allergi vid hudkontakt.</w:t>
      </w:r>
    </w:p>
    <w:p w:rsidR="00475CB3" w:rsidRPr="00756402" w:rsidRDefault="00756402" w:rsidP="00756402">
      <w:pPr>
        <w:pStyle w:val="Ingetavstnd"/>
        <w:rPr>
          <w:b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för upprepad exponering</w:t>
      </w:r>
      <w:bookmarkEnd w:id="28"/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t>Upprepad exponering kan orsaka torr hud eller bristning. Ångor kan orsaka dåsighet och yrsel.</w:t>
      </w:r>
    </w:p>
    <w:p w:rsidR="00475CB3" w:rsidRPr="00756402" w:rsidRDefault="00756402" w:rsidP="00756402">
      <w:pPr>
        <w:pStyle w:val="Ingetavstnd"/>
        <w:rPr>
          <w:b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756402" w:rsidRDefault="00756402" w:rsidP="00756402">
      <w:pPr>
        <w:pStyle w:val="Ingetavstnd"/>
        <w:rPr>
          <w:b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756402" w:rsidRDefault="00756402" w:rsidP="00756402">
      <w:pPr>
        <w:pStyle w:val="Ingetavstnd"/>
        <w:rPr>
          <w:b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Skadliga effekt på reproduktionen</w:t>
      </w:r>
      <w:bookmarkEnd w:id="31"/>
    </w:p>
    <w:p w:rsidR="00756402" w:rsidRDefault="00475CB3" w:rsidP="00756402">
      <w:pPr>
        <w:pStyle w:val="Ingetavstnd"/>
        <w:jc w:val="both"/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602E56" w:rsidRDefault="00475CB3" w:rsidP="00756402">
      <w:pPr>
        <w:pStyle w:val="Ingetavstnd"/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5A0BD3" w:rsidRDefault="005A0BD3" w:rsidP="00941A3E">
      <w:pPr>
        <w:pStyle w:val="Ingetavstnd"/>
        <w:jc w:val="both"/>
      </w:pPr>
      <w:r>
        <w:rPr>
          <w:lang w:val="sv"/>
        </w:rPr>
        <w:t xml:space="preserve">Inandning: farligt vid inandning. </w:t>
      </w:r>
    </w:p>
    <w:p w:rsidR="005A0BD3" w:rsidRDefault="005A0BD3" w:rsidP="00941A3E">
      <w:pPr>
        <w:pStyle w:val="Ingetavstnd"/>
        <w:jc w:val="both"/>
      </w:pPr>
      <w:r>
        <w:rPr>
          <w:lang w:val="sv"/>
        </w:rPr>
        <w:t xml:space="preserve">Hud: kan ge allergi vid hudkontakt. </w:t>
      </w:r>
    </w:p>
    <w:p w:rsidR="005A0BD3" w:rsidRDefault="005A0BD3" w:rsidP="00941A3E">
      <w:pPr>
        <w:pStyle w:val="Ingetavstnd"/>
        <w:jc w:val="both"/>
      </w:pPr>
      <w:r>
        <w:rPr>
          <w:lang w:val="sv"/>
        </w:rPr>
        <w:t xml:space="preserve">Ögon: kan orsaka irriterande effekt. </w:t>
      </w:r>
    </w:p>
    <w:p w:rsidR="00475CB3" w:rsidRPr="00602E56" w:rsidRDefault="005A0BD3" w:rsidP="00941A3E">
      <w:pPr>
        <w:pStyle w:val="Ingetavstnd"/>
        <w:jc w:val="both"/>
      </w:pPr>
      <w:r>
        <w:rPr>
          <w:lang w:val="sv"/>
        </w:rPr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475CB3" w:rsidRDefault="00475CB3" w:rsidP="00941A3E">
      <w:pPr>
        <w:pStyle w:val="Ingetavstnd"/>
        <w:jc w:val="both"/>
      </w:pPr>
      <w:r w:rsidRPr="00941A3E">
        <w:rPr>
          <w:lang w:val="sv"/>
        </w:rPr>
        <w:t>Huvudvärk och svindel, trötthet, minskad muskelstyrka, dåsighet och, i</w:t>
      </w:r>
      <w:r w:rsidR="00941A3E">
        <w:rPr>
          <w:lang w:val="sv"/>
        </w:rPr>
        <w:t xml:space="preserve"> exceptionella fall, förlust av </w:t>
      </w:r>
      <w:r w:rsidRPr="00941A3E">
        <w:rPr>
          <w:lang w:val="sv"/>
        </w:rPr>
        <w:t>medvetande.</w:t>
      </w:r>
      <w:r w:rsidRPr="00941A3E">
        <w:rPr>
          <w:lang w:val="sv"/>
        </w:rPr>
        <w:br/>
        <w:t>Ångor kan orsaka dåsighet och svindel. Upprepade</w:t>
      </w:r>
      <w:r w:rsidRPr="00602E56">
        <w:rPr>
          <w:lang w:val="sv"/>
        </w:rPr>
        <w:t xml:space="preserve"> exponeringen kan ge torr hud eller huden spricker. </w:t>
      </w:r>
    </w:p>
    <w:p w:rsidR="00941A3E" w:rsidRPr="00602E56" w:rsidRDefault="00941A3E" w:rsidP="00941A3E">
      <w:pPr>
        <w:pStyle w:val="Ingetavstnd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602E56" w:rsidRDefault="00475CB3" w:rsidP="00941A3E">
      <w:pPr>
        <w:pStyle w:val="Ingetavstnd"/>
        <w:jc w:val="both"/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602E56" w:rsidRDefault="00475CB3" w:rsidP="00941A3E">
      <w:pPr>
        <w:pStyle w:val="Ingetavstnd"/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6678" w:type="dxa"/>
          </w:tcPr>
          <w:p w:rsidR="00C86542" w:rsidRPr="00021D0E" w:rsidRDefault="00C86542" w:rsidP="00021D0E">
            <w:pPr>
              <w:pStyle w:val="Ingetavstnd"/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021D0E" w:rsidRDefault="00C86542" w:rsidP="00021D0E">
            <w:pPr>
              <w:pStyle w:val="Ingetavstnd"/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6678" w:type="dxa"/>
          </w:tcPr>
          <w:p w:rsidR="005A0BD3" w:rsidRDefault="005A0BD3" w:rsidP="00343957">
            <w:pPr>
              <w:pStyle w:val="Ingetavstnd"/>
            </w:pPr>
            <w:r>
              <w:rPr>
                <w:lang w:val="sv"/>
              </w:rPr>
              <w:t>Antal i katalogen över vatten farliga ämnen: 42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2-BUTOXYETHYL acetat</w:t>
            </w:r>
          </w:p>
        </w:tc>
        <w:tc>
          <w:tcPr>
            <w:tcW w:w="6678" w:type="dxa"/>
          </w:tcPr>
          <w:p w:rsidR="005A0BD3" w:rsidRDefault="005A0BD3" w:rsidP="00343957">
            <w:pPr>
              <w:pStyle w:val="Ingetavstnd"/>
            </w:pPr>
            <w:r>
              <w:rPr>
                <w:lang w:val="sv"/>
              </w:rPr>
              <w:t>Toxicitet för fisk EC50/17h 960 mg/l</w:t>
            </w:r>
          </w:p>
          <w:p w:rsidR="005A0BD3" w:rsidRDefault="005A0BD3" w:rsidP="00343957">
            <w:pPr>
              <w:pStyle w:val="Ingetavstnd"/>
            </w:pPr>
            <w:r>
              <w:rPr>
                <w:lang w:val="sv"/>
              </w:rPr>
              <w:t>Antal i katalogen över vatten farliga ämnen: 592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5A0BD3" w:rsidRDefault="005A0BD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Bis (1, 2, 2, 6, 6-pentametyl-4-piperidyl) sebacat</w:t>
            </w:r>
          </w:p>
        </w:tc>
        <w:tc>
          <w:tcPr>
            <w:tcW w:w="6678" w:type="dxa"/>
          </w:tcPr>
          <w:p w:rsidR="00475CB3" w:rsidRPr="00343957" w:rsidRDefault="00343957" w:rsidP="00343957">
            <w:pPr>
              <w:pStyle w:val="Ingetavstnd"/>
              <w:rPr>
                <w:rFonts w:cs="Arial"/>
              </w:rPr>
            </w:pPr>
            <w:r w:rsidRPr="00343957">
              <w:rPr>
                <w:i/>
                <w:lang w:val="sv"/>
              </w:rPr>
              <w:t>Daphnia magna</w:t>
            </w:r>
            <w:r>
              <w:rPr>
                <w:lang w:val="sv"/>
              </w:rPr>
              <w:t xml:space="preserve"> /EC50 (24h) 20 mg/l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5A0BD3" w:rsidRDefault="005A0BD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Etylbensen</w:t>
            </w:r>
          </w:p>
        </w:tc>
        <w:tc>
          <w:tcPr>
            <w:tcW w:w="6678" w:type="dxa"/>
          </w:tcPr>
          <w:p w:rsidR="00343957" w:rsidRDefault="00343957" w:rsidP="00343957">
            <w:pPr>
              <w:pStyle w:val="Ingetavstnd"/>
            </w:pPr>
            <w:r w:rsidRPr="00343957">
              <w:rPr>
                <w:i/>
                <w:lang w:val="sv"/>
              </w:rPr>
              <w:t>Daphnia magna</w:t>
            </w:r>
            <w:r>
              <w:rPr>
                <w:lang w:val="sv"/>
              </w:rPr>
              <w:t>/EC50 (24) 73 mg/l</w:t>
            </w:r>
          </w:p>
          <w:p w:rsidR="00343957" w:rsidRDefault="00343957" w:rsidP="00343957">
            <w:pPr>
              <w:pStyle w:val="Ingetavstnd"/>
            </w:pPr>
            <w:r>
              <w:rPr>
                <w:lang w:val="sv"/>
              </w:rPr>
              <w:t>Antal i katalogen över vatten farliga ämnen: 99</w:t>
            </w:r>
          </w:p>
          <w:p w:rsidR="00475CB3" w:rsidRPr="00343957" w:rsidRDefault="00343957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lastRenderedPageBreak/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343957" w:rsidRDefault="00343957" w:rsidP="00343957">
      <w:pPr>
        <w:pStyle w:val="Ingetavstnd"/>
      </w:pPr>
      <w:r>
        <w:rPr>
          <w:lang w:val="sv"/>
        </w:rPr>
        <w:t>Butyl Acetate-biologisk nedbrytbarhet: 98% (sluten flaska test)</w:t>
      </w:r>
    </w:p>
    <w:p w:rsidR="00997ED6" w:rsidRPr="00463D5A" w:rsidRDefault="00997ED6" w:rsidP="00463D5A">
      <w:pPr>
        <w:pStyle w:val="Ingetavstnd"/>
        <w:rPr>
          <w:b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potential</w:t>
      </w:r>
      <w:bookmarkEnd w:id="33"/>
    </w:p>
    <w:p w:rsidR="00343957" w:rsidRPr="00343957" w:rsidRDefault="00343957" w:rsidP="00343957">
      <w:pPr>
        <w:pStyle w:val="Ingetavstnd"/>
      </w:pPr>
      <w:bookmarkStart w:id="34" w:name="bookmark52"/>
      <w:r>
        <w:rPr>
          <w:lang w:val="sv"/>
        </w:rPr>
        <w:t>Butyl-</w:t>
      </w:r>
      <w:r w:rsidRPr="00463D5A">
        <w:rPr>
          <w:b/>
          <w:lang w:val="sv"/>
        </w:rPr>
        <w:t xml:space="preserve"> </w:t>
      </w:r>
      <w:r>
        <w:rPr>
          <w:lang w:val="sv"/>
        </w:rPr>
        <w:t>Biologisk koefficient: BCF = 3,1</w:t>
      </w:r>
    </w:p>
    <w:p w:rsidR="00997ED6" w:rsidRPr="00463D5A" w:rsidRDefault="00463D5A" w:rsidP="00463D5A">
      <w:pPr>
        <w:pStyle w:val="Ingetavstnd"/>
        <w:rPr>
          <w:b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997ED6" w:rsidRPr="00602E56" w:rsidRDefault="00997ED6" w:rsidP="00463D5A">
      <w:pPr>
        <w:pStyle w:val="Ingetavstnd"/>
      </w:pPr>
      <w:r w:rsidRPr="00602E56">
        <w:rPr>
          <w:lang w:val="sv"/>
        </w:rPr>
        <w:t>Produkten är mycket dåligt löslig i vatten.</w:t>
      </w:r>
    </w:p>
    <w:p w:rsidR="00997ED6" w:rsidRPr="00463D5A" w:rsidRDefault="00463D5A" w:rsidP="00463D5A">
      <w:pPr>
        <w:pStyle w:val="Ingetavstnd"/>
        <w:rPr>
          <w:b/>
        </w:rPr>
      </w:pPr>
      <w:bookmarkStart w:id="35" w:name="bookmark53"/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vPvB-bedömning</w:t>
      </w:r>
      <w:bookmarkEnd w:id="35"/>
    </w:p>
    <w:p w:rsidR="00997ED6" w:rsidRPr="00602E56" w:rsidRDefault="00997ED6" w:rsidP="00463D5A">
      <w:pPr>
        <w:pStyle w:val="Ingetavstnd"/>
      </w:pPr>
      <w:r w:rsidRPr="00602E56">
        <w:rPr>
          <w:lang w:val="sv"/>
        </w:rPr>
        <w:t>Inga tillgängliga data.</w:t>
      </w:r>
    </w:p>
    <w:p w:rsidR="00997ED6" w:rsidRPr="00463D5A" w:rsidRDefault="00463D5A" w:rsidP="00463D5A">
      <w:pPr>
        <w:pStyle w:val="Ingetavstnd"/>
        <w:rPr>
          <w:b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602E56" w:rsidRDefault="00997ED6" w:rsidP="00463D5A">
      <w:pPr>
        <w:pStyle w:val="Ingetavstnd"/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602E56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föreskrifter för avfalls-se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Wienheter som har tillstånd att bedriva verksamhet på området för insamling, återvinning eller utnyttjande av avfall.</w:t>
      </w:r>
    </w:p>
    <w:p w:rsidR="00463D5A" w:rsidRPr="00602E56" w:rsidRDefault="00463D5A" w:rsidP="00463D5A">
      <w:pPr>
        <w:pStyle w:val="Ingetavstnd"/>
        <w:jc w:val="both"/>
      </w:pPr>
    </w:p>
    <w:p w:rsidR="00997ED6" w:rsidRPr="00602E56" w:rsidRDefault="00997ED6" w:rsidP="00463D5A">
      <w:pPr>
        <w:pStyle w:val="Ingetavstnd"/>
      </w:pPr>
      <w:r w:rsidRPr="00602E56">
        <w:rPr>
          <w:lang w:val="sv"/>
        </w:rPr>
        <w:t>Produkten kvarstår:</w:t>
      </w:r>
    </w:p>
    <w:p w:rsidR="00997ED6" w:rsidRPr="00602E56" w:rsidRDefault="00997ED6" w:rsidP="00463D5A">
      <w:pPr>
        <w:pStyle w:val="Ingetavstnd"/>
        <w:jc w:val="both"/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Pr="00602E56">
        <w:rPr>
          <w:lang w:val="sv"/>
        </w:rPr>
        <w:t>noggrant och härda med hjälp av rätt B-komponent, (avfall) ha</w:t>
      </w:r>
      <w:r w:rsidR="00463D5A">
        <w:rPr>
          <w:lang w:val="sv"/>
        </w:rPr>
        <w:t xml:space="preserve">rdener som ingår i uppsättningen. Den härdade produkten är inte </w:t>
      </w:r>
      <w:r w:rsidRPr="00602E56">
        <w:rPr>
          <w:lang w:val="sv"/>
        </w:rPr>
        <w:t>skadligt avfall.</w:t>
      </w:r>
    </w:p>
    <w:p w:rsidR="00997ED6" w:rsidRDefault="00997ED6" w:rsidP="001C580A">
      <w:pPr>
        <w:pStyle w:val="Ingetavstnd"/>
        <w:jc w:val="both"/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 produkter Hiqh mängder värme </w:t>
      </w:r>
      <w:r w:rsidRPr="00602E56">
        <w:rPr>
          <w:lang w:val="sv"/>
        </w:rPr>
        <w:t>släpps under kemisk reaktion!</w:t>
      </w:r>
    </w:p>
    <w:p w:rsidR="00463D5A" w:rsidRPr="00602E56" w:rsidRDefault="00463D5A" w:rsidP="00463D5A">
      <w:pPr>
        <w:pStyle w:val="Ingetavstnd"/>
      </w:pPr>
    </w:p>
    <w:p w:rsidR="00997ED6" w:rsidRPr="00602E56" w:rsidRDefault="00997ED6" w:rsidP="00463D5A">
      <w:pPr>
        <w:pStyle w:val="Ingetavstnd"/>
      </w:pPr>
      <w:r w:rsidRPr="00602E56">
        <w:rPr>
          <w:lang w:val="sv"/>
        </w:rPr>
        <w:t>Förorenad behållare:</w:t>
      </w:r>
    </w:p>
    <w:p w:rsidR="00997ED6" w:rsidRDefault="00997ED6" w:rsidP="00463D5A">
      <w:pPr>
        <w:pStyle w:val="Ingetavstnd"/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602E56" w:rsidRDefault="00463D5A" w:rsidP="00463D5A">
      <w:pPr>
        <w:pStyle w:val="Ingetavst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680"/>
        <w:gridCol w:w="21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  <w:tc>
          <w:tcPr>
            <w:tcW w:w="1896" w:type="dxa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1866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Harts lösning, brandfarlig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II</w:t>
            </w:r>
          </w:p>
        </w:tc>
        <w:tc>
          <w:tcPr>
            <w:tcW w:w="1896" w:type="dxa"/>
            <w:gridSpan w:val="2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602E56" w:rsidRDefault="00602E56" w:rsidP="00463D5A">
      <w:pPr>
        <w:pStyle w:val="Ingetavstnd"/>
        <w:jc w:val="both"/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463D5A" w:rsidRDefault="00463D5A" w:rsidP="00463D5A">
      <w:pPr>
        <w:pStyle w:val="Ingetavstnd"/>
        <w:rPr>
          <w:b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D23F8C" w:rsidRDefault="00D23F8C" w:rsidP="00D23F8C">
      <w:pPr>
        <w:pStyle w:val="Ingetavstnd"/>
        <w:rPr>
          <w:b/>
          <w:szCs w:val="20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Direktiv 67/548/EWG(2006/121/We)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REACH-Regulation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lastRenderedPageBreak/>
              <w:t>Övrig information</w:t>
            </w:r>
          </w:p>
        </w:tc>
      </w:tr>
    </w:tbl>
    <w:p w:rsidR="00602E56" w:rsidRPr="00D23F8C" w:rsidRDefault="00602E56" w:rsidP="00D23F8C">
      <w:pPr>
        <w:pStyle w:val="Ingetavstnd"/>
        <w:rPr>
          <w:b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p w:rsidR="00343957" w:rsidRDefault="00343957" w:rsidP="00343957">
      <w:pPr>
        <w:pStyle w:val="Ingetavstnd"/>
      </w:pPr>
      <w:bookmarkStart w:id="43" w:name="bookmark66"/>
      <w:r>
        <w:rPr>
          <w:lang w:val="sv"/>
        </w:rPr>
        <w:t>R10 Brandfarligt</w:t>
      </w:r>
    </w:p>
    <w:p w:rsidR="00343957" w:rsidRDefault="00343957" w:rsidP="00343957">
      <w:pPr>
        <w:pStyle w:val="Ingetavstnd"/>
      </w:pPr>
      <w:r>
        <w:rPr>
          <w:lang w:val="sv"/>
        </w:rPr>
        <w:t>R11 Mycket brandfarligt.</w:t>
      </w:r>
    </w:p>
    <w:p w:rsidR="00343957" w:rsidRDefault="00343957" w:rsidP="00343957">
      <w:pPr>
        <w:pStyle w:val="Ingetavstnd"/>
      </w:pPr>
      <w:r>
        <w:rPr>
          <w:lang w:val="sv"/>
        </w:rPr>
        <w:t>R20 farligt vid inandning.</w:t>
      </w:r>
    </w:p>
    <w:p w:rsidR="00343957" w:rsidRDefault="00343957" w:rsidP="00343957">
      <w:pPr>
        <w:pStyle w:val="Ingetavstnd"/>
      </w:pPr>
      <w:r>
        <w:rPr>
          <w:lang w:val="sv"/>
        </w:rPr>
        <w:t>R20/21 farligt vid inandning och hudkontakt</w:t>
      </w:r>
      <w:r>
        <w:rPr>
          <w:lang w:val="sv"/>
        </w:rPr>
        <w:br/>
        <w:t>R20/22 Farligt vid inandning och förtäring</w:t>
      </w:r>
      <w:r>
        <w:rPr>
          <w:lang w:val="sv"/>
        </w:rPr>
        <w:br/>
        <w:t>R36/37 Irriterar ögonen och andningssystemet.</w:t>
      </w:r>
      <w:r>
        <w:rPr>
          <w:lang w:val="sv"/>
        </w:rPr>
        <w:br/>
        <w:t>R38 Irriterar huden.</w:t>
      </w:r>
    </w:p>
    <w:p w:rsidR="00343957" w:rsidRDefault="00343957" w:rsidP="00343957">
      <w:pPr>
        <w:pStyle w:val="Ingetavstnd"/>
      </w:pPr>
      <w:r>
        <w:rPr>
          <w:lang w:val="sv"/>
        </w:rPr>
        <w:t>R43 kan ge allergi vid hudkontakt.</w:t>
      </w:r>
    </w:p>
    <w:p w:rsidR="00343957" w:rsidRDefault="00343957" w:rsidP="00343957">
      <w:pPr>
        <w:pStyle w:val="Ingetavstnd"/>
      </w:pPr>
      <w:r>
        <w:rPr>
          <w:lang w:val="sv"/>
        </w:rPr>
        <w:t>R50/53 mycket giftigt för vattenlevande organismer, kan orsaka skadligalångtidseffekter i vattenmiljön.</w:t>
      </w:r>
    </w:p>
    <w:p w:rsidR="00343957" w:rsidRDefault="00343957" w:rsidP="00343957">
      <w:pPr>
        <w:pStyle w:val="Ingetavstnd"/>
      </w:pPr>
      <w:r>
        <w:rPr>
          <w:lang w:val="sv"/>
        </w:rPr>
        <w:t>R51/53 Giftigt för vattenlevande organismer, kan orsaka skadligalångtidseffekter i vattenmiljön.</w:t>
      </w:r>
    </w:p>
    <w:p w:rsidR="00343957" w:rsidRDefault="00343957" w:rsidP="00343957">
      <w:pPr>
        <w:pStyle w:val="Ingetavstnd"/>
      </w:pPr>
      <w:r>
        <w:rPr>
          <w:lang w:val="sv"/>
        </w:rPr>
        <w:t>65 farligt: kan orsaka lungskador vid förtäring.</w:t>
      </w:r>
    </w:p>
    <w:p w:rsidR="00343957" w:rsidRDefault="00343957" w:rsidP="00343957">
      <w:pPr>
        <w:pStyle w:val="Ingetavstnd"/>
      </w:pPr>
      <w:r>
        <w:rPr>
          <w:lang w:val="sv"/>
        </w:rPr>
        <w:t>R66 upprepad exponering kan ge torr hud eller torra sprickor.</w:t>
      </w:r>
    </w:p>
    <w:p w:rsidR="00343957" w:rsidRDefault="00343957" w:rsidP="00343957">
      <w:pPr>
        <w:pStyle w:val="Ingetavstnd"/>
      </w:pPr>
      <w:r>
        <w:rPr>
          <w:lang w:val="sv"/>
        </w:rPr>
        <w:t>R67 ångor kan orsaka dåsighet och yrsel.</w:t>
      </w:r>
    </w:p>
    <w:p w:rsidR="00343957" w:rsidRDefault="00343957" w:rsidP="00343957">
      <w:pPr>
        <w:pStyle w:val="Ingetavstnd"/>
      </w:pPr>
      <w:r>
        <w:rPr>
          <w:lang w:val="sv"/>
        </w:rPr>
        <w:t>Flam. vätskor. 2/3 flytande, brandfarliga ämnen, kategori 2/3</w:t>
      </w:r>
    </w:p>
    <w:p w:rsidR="00343957" w:rsidRDefault="00343957" w:rsidP="00343957">
      <w:pPr>
        <w:pStyle w:val="Ingetavstnd"/>
      </w:pPr>
      <w:r>
        <w:rPr>
          <w:lang w:val="sv"/>
        </w:rPr>
        <w:t>H225 Mycket brandfarlig vätska och ånga.</w:t>
      </w:r>
    </w:p>
    <w:p w:rsidR="00343957" w:rsidRDefault="00343957" w:rsidP="00343957">
      <w:pPr>
        <w:pStyle w:val="Ingetavstnd"/>
      </w:pPr>
      <w:r>
        <w:rPr>
          <w:lang w:val="sv"/>
        </w:rPr>
        <w:t>H226 Brandfarlig vätska och ånga.</w:t>
      </w:r>
    </w:p>
    <w:p w:rsidR="00343957" w:rsidRDefault="00343957" w:rsidP="00343957">
      <w:pPr>
        <w:pStyle w:val="Ingetavstnd"/>
      </w:pPr>
      <w:r>
        <w:rPr>
          <w:lang w:val="sv"/>
        </w:rPr>
        <w:t>Vård. 1b H350 kan orsaka cancer</w:t>
      </w:r>
    </w:p>
    <w:p w:rsidR="00343957" w:rsidRDefault="00343957" w:rsidP="00343957">
      <w:pPr>
        <w:pStyle w:val="Ingetavstnd"/>
      </w:pPr>
      <w:r>
        <w:rPr>
          <w:lang w:val="sv"/>
        </w:rPr>
        <w:t>Muta. 1b H340 kan orsaka genetiska defekter</w:t>
      </w:r>
    </w:p>
    <w:p w:rsidR="00343957" w:rsidRDefault="00343957" w:rsidP="00343957">
      <w:pPr>
        <w:pStyle w:val="Ingetavstnd"/>
      </w:pPr>
      <w:r>
        <w:rPr>
          <w:lang w:val="sv"/>
        </w:rPr>
        <w:t>ASP. Tox. 1</w:t>
      </w:r>
    </w:p>
    <w:p w:rsidR="00343957" w:rsidRDefault="00343957" w:rsidP="00343957">
      <w:pPr>
        <w:pStyle w:val="Ingetavstnd"/>
      </w:pPr>
      <w:r>
        <w:rPr>
          <w:lang w:val="sv"/>
        </w:rPr>
        <w:t>H304 kan vara dödligt vid förtäring och kommer in i luftvägarna.</w:t>
      </w:r>
    </w:p>
    <w:p w:rsidR="00343957" w:rsidRDefault="00343957" w:rsidP="00343957">
      <w:pPr>
        <w:pStyle w:val="Ingetavstnd"/>
      </w:pPr>
      <w:r>
        <w:rPr>
          <w:lang w:val="sv"/>
        </w:rPr>
        <w:t>Specifik organtoxicitet se 3 toxisk effekt på målorgan-enstaka exponering, kategori 3</w:t>
      </w:r>
    </w:p>
    <w:p w:rsidR="00343957" w:rsidRDefault="00343957" w:rsidP="00343957">
      <w:pPr>
        <w:pStyle w:val="Ingetavstnd"/>
      </w:pPr>
      <w:r>
        <w:rPr>
          <w:lang w:val="sv"/>
        </w:rPr>
        <w:t>H335 kan orsaka irritation i luftvägarna.</w:t>
      </w:r>
    </w:p>
    <w:p w:rsidR="00343957" w:rsidRDefault="00343957" w:rsidP="00343957">
      <w:pPr>
        <w:pStyle w:val="Ingetavstnd"/>
      </w:pPr>
      <w:r>
        <w:rPr>
          <w:lang w:val="sv"/>
        </w:rPr>
        <w:t>H336 kan orsaka dåsighet eller yrsel.</w:t>
      </w:r>
    </w:p>
    <w:p w:rsidR="00343957" w:rsidRDefault="00343957" w:rsidP="00343957">
      <w:pPr>
        <w:pStyle w:val="Ingetavstnd"/>
      </w:pPr>
      <w:r>
        <w:rPr>
          <w:lang w:val="sv"/>
        </w:rPr>
        <w:t>Akut Tox. 4. akut toxicitet, kategori 4</w:t>
      </w:r>
    </w:p>
    <w:p w:rsidR="00343957" w:rsidRDefault="00343957" w:rsidP="00343957">
      <w:pPr>
        <w:pStyle w:val="Ingetavstnd"/>
      </w:pPr>
      <w:r>
        <w:rPr>
          <w:lang w:val="sv"/>
        </w:rPr>
        <w:t>H332 Skadligt vid inandning.</w:t>
      </w:r>
    </w:p>
    <w:p w:rsidR="00343957" w:rsidRDefault="00343957" w:rsidP="00343957">
      <w:pPr>
        <w:pStyle w:val="Ingetavstnd"/>
      </w:pPr>
      <w:r>
        <w:rPr>
          <w:lang w:val="sv"/>
        </w:rPr>
        <w:t>H302 skadligt vid förtäring.</w:t>
      </w:r>
    </w:p>
    <w:p w:rsidR="00343957" w:rsidRDefault="00343957" w:rsidP="00343957">
      <w:pPr>
        <w:pStyle w:val="Ingetavstnd"/>
      </w:pPr>
      <w:r>
        <w:rPr>
          <w:lang w:val="sv"/>
        </w:rPr>
        <w:t>H312 skadligt vid hudkontakt.</w:t>
      </w:r>
    </w:p>
    <w:p w:rsidR="00343957" w:rsidRDefault="00343957" w:rsidP="00343957">
      <w:pPr>
        <w:pStyle w:val="Ingetavstnd"/>
      </w:pPr>
      <w:r>
        <w:rPr>
          <w:lang w:val="sv"/>
        </w:rPr>
        <w:t>Hud Irrit. 2 Frätande/irriterande effekt på hud, kategori 2</w:t>
      </w:r>
    </w:p>
    <w:p w:rsidR="00343957" w:rsidRDefault="00343957" w:rsidP="00343957">
      <w:pPr>
        <w:pStyle w:val="Ingetavstnd"/>
      </w:pPr>
      <w:r>
        <w:rPr>
          <w:lang w:val="sv"/>
        </w:rPr>
        <w:t>H315 orsakar hudirritation.</w:t>
      </w:r>
    </w:p>
    <w:p w:rsidR="00343957" w:rsidRDefault="00343957" w:rsidP="00343957">
      <w:pPr>
        <w:pStyle w:val="Ingetavstnd"/>
      </w:pPr>
      <w:r>
        <w:rPr>
          <w:lang w:val="sv"/>
        </w:rPr>
        <w:t>Skin Sens. 1</w:t>
      </w:r>
    </w:p>
    <w:p w:rsidR="00343957" w:rsidRDefault="00343957" w:rsidP="00343957">
      <w:pPr>
        <w:pStyle w:val="Ingetavstnd"/>
      </w:pPr>
      <w:r>
        <w:rPr>
          <w:lang w:val="sv"/>
        </w:rPr>
        <w:t>H317 kan orsaka allergisk hudreaktion.</w:t>
      </w:r>
      <w:r>
        <w:rPr>
          <w:lang w:val="sv"/>
        </w:rPr>
        <w:br/>
        <w:t>Akvatisk kronisk 2</w:t>
      </w:r>
    </w:p>
    <w:p w:rsidR="00343957" w:rsidRDefault="00343957" w:rsidP="00343957">
      <w:pPr>
        <w:pStyle w:val="Ingetavstnd"/>
      </w:pPr>
      <w:r>
        <w:rPr>
          <w:lang w:val="sv"/>
        </w:rPr>
        <w:t>H411 giftigt för vattenlevande organismer med långtidseffekter.</w:t>
      </w:r>
    </w:p>
    <w:p w:rsidR="00343957" w:rsidRDefault="00343957" w:rsidP="00343957">
      <w:pPr>
        <w:pStyle w:val="Ingetavstnd"/>
      </w:pPr>
      <w:r>
        <w:rPr>
          <w:lang w:val="sv"/>
        </w:rPr>
        <w:t>EUH066 upprepad exponering kan orsaka torr hud eller bristning.</w:t>
      </w:r>
    </w:p>
    <w:p w:rsidR="00602E56" w:rsidRPr="00D23F8C" w:rsidRDefault="00602E56" w:rsidP="00D23F8C">
      <w:pPr>
        <w:pStyle w:val="Ingetavstnd"/>
        <w:rPr>
          <w:b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602E56" w:rsidRDefault="00602E56" w:rsidP="00D23F8C">
      <w:pPr>
        <w:pStyle w:val="Ingetavstnd"/>
      </w:pPr>
      <w:r w:rsidRPr="00602E56">
        <w:rPr>
          <w:lang w:val="sv"/>
        </w:rPr>
        <w:t>WNG-varningsmeddelande koder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lastRenderedPageBreak/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602E56" w:rsidRDefault="00602E56" w:rsidP="00D23F8C">
      <w:pPr>
        <w:pStyle w:val="Ingetavstnd"/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602E56" w:rsidRDefault="00602E56" w:rsidP="00D23F8C">
      <w:pPr>
        <w:pStyle w:val="Ingetavstnd"/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Default="00602E56" w:rsidP="00D23F8C">
      <w:pPr>
        <w:pStyle w:val="Ingetavstnd"/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602E56" w:rsidRDefault="00D23F8C" w:rsidP="00D23F8C">
      <w:pPr>
        <w:pStyle w:val="Ingetavstnd"/>
      </w:pPr>
    </w:p>
    <w:p w:rsidR="00602E56" w:rsidRDefault="00602E56" w:rsidP="00D23F8C">
      <w:pPr>
        <w:pStyle w:val="Ingetavstnd"/>
      </w:pPr>
      <w:r w:rsidRPr="00602E56">
        <w:rPr>
          <w:lang w:val="sv"/>
        </w:rPr>
        <w:t>Informationen är baserad på vår nuvarande kunskap. Detta dokument skall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602E56" w:rsidRDefault="00D23F8C" w:rsidP="00D23F8C">
      <w:pPr>
        <w:pStyle w:val="Ingetavstnd"/>
      </w:pPr>
    </w:p>
    <w:p w:rsidR="00602E56" w:rsidRPr="00602E56" w:rsidRDefault="00602E56" w:rsidP="00D23F8C">
      <w:pPr>
        <w:pStyle w:val="Ingetavstnd"/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602E56" w:rsidRDefault="00602E56" w:rsidP="00D23F8C">
      <w:pPr>
        <w:pStyle w:val="Ingetavstnd"/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602E56" w:rsidRDefault="00602E56" w:rsidP="00D23F8C">
      <w:pPr>
        <w:pStyle w:val="Ingetavstnd"/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Default="00D23F8C" w:rsidP="00D23F8C">
      <w:pPr>
        <w:pStyle w:val="Ingetavstnd"/>
      </w:pPr>
    </w:p>
    <w:p w:rsidR="00602E56" w:rsidRPr="00602E56" w:rsidRDefault="00602E56" w:rsidP="00D23F8C">
      <w:pPr>
        <w:pStyle w:val="Ingetavstnd"/>
      </w:pPr>
      <w:r w:rsidRPr="00602E56">
        <w:rPr>
          <w:lang w:val="sv"/>
        </w:rPr>
        <w:t>Ändringar: allmän uppdatering</w:t>
      </w:r>
    </w:p>
    <w:p w:rsidR="00D23F8C" w:rsidRDefault="00D23F8C" w:rsidP="00D23F8C">
      <w:pPr>
        <w:pStyle w:val="Ingetavstnd"/>
      </w:pPr>
    </w:p>
    <w:p w:rsidR="00602E56" w:rsidRPr="00602E56" w:rsidRDefault="00602E56" w:rsidP="00D23F8C">
      <w:pPr>
        <w:pStyle w:val="Ingetavstnd"/>
        <w:keepNext/>
      </w:pPr>
      <w:r w:rsidRPr="00602E56">
        <w:rPr>
          <w:lang w:val="sv"/>
        </w:rPr>
        <w:t>Utbildning:</w:t>
      </w:r>
    </w:p>
    <w:p w:rsidR="00602E56" w:rsidRPr="00602E56" w:rsidRDefault="00602E56" w:rsidP="00D23F8C">
      <w:pPr>
        <w:pStyle w:val="Ingetavstnd"/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602E56" w:rsidRDefault="00475CB3" w:rsidP="00D23F8C">
      <w:pPr>
        <w:pStyle w:val="Ingetavstnd"/>
      </w:pPr>
    </w:p>
    <w:sectPr w:rsidR="00475CB3" w:rsidRPr="00602E56" w:rsidSect="00FA4F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2E" w:rsidRDefault="00C8552E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C8552E" w:rsidRDefault="00C8552E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2E" w:rsidRDefault="00C8552E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C8552E" w:rsidRDefault="00C8552E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Default="00D90454">
    <w:pPr>
      <w:pStyle w:val="Sidhuvud"/>
      <w:rPr>
        <w:sz w:val="16"/>
        <w:szCs w:val="16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2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10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327942" w:rsidRDefault="00DE5B96" w:rsidP="00327942">
    <w:pPr>
      <w:pStyle w:val="Sidhuvud"/>
      <w:jc w:val="center"/>
      <w:rPr>
        <w:sz w:val="32"/>
        <w:szCs w:val="32"/>
      </w:rPr>
    </w:pPr>
    <w:r w:rsidRPr="00327942">
      <w:rPr>
        <w:sz w:val="32"/>
        <w:szCs w:val="32"/>
        <w:lang w:val="sv"/>
      </w:rPr>
      <w:t>Säkerhetsdatablad</w:t>
    </w:r>
  </w:p>
  <w:p w:rsidR="00DE5B96" w:rsidRDefault="00DE5B96" w:rsidP="00327942">
    <w:pPr>
      <w:pStyle w:val="Sidhuvud"/>
      <w:jc w:val="center"/>
      <w:rPr>
        <w:sz w:val="16"/>
        <w:szCs w:val="16"/>
      </w:rPr>
    </w:pPr>
    <w:r>
      <w:rPr>
        <w:sz w:val="16"/>
        <w:szCs w:val="16"/>
        <w:lang w:val="sv"/>
      </w:rPr>
      <w:t>Enligt 1907/2006/EG ska artikel 31</w:t>
    </w:r>
  </w:p>
  <w:p w:rsidR="00DE5B96" w:rsidRPr="00327942" w:rsidRDefault="00DE5B96" w:rsidP="001509C9">
    <w:pPr>
      <w:pStyle w:val="Sidhuvud"/>
      <w:jc w:val="right"/>
      <w:rPr>
        <w:sz w:val="16"/>
        <w:szCs w:val="16"/>
      </w:rPr>
    </w:pPr>
    <w:r>
      <w:rPr>
        <w:sz w:val="16"/>
        <w:szCs w:val="16"/>
        <w:lang w:val="sv"/>
      </w:rPr>
      <w:t>Radex 2k Express klarlack</w:t>
    </w:r>
    <w:r>
      <w:rPr>
        <w:sz w:val="16"/>
        <w:szCs w:val="16"/>
        <w:lang w:val="sv"/>
      </w:rPr>
      <w:tab/>
    </w:r>
    <w:r>
      <w:rPr>
        <w:sz w:val="16"/>
        <w:szCs w:val="16"/>
        <w:lang w:val="sv"/>
      </w:rPr>
      <w:tab/>
      <w:t xml:space="preserve">Revision </w:t>
    </w:r>
    <w:r w:rsidR="00BA367D">
      <w:rPr>
        <w:sz w:val="16"/>
        <w:szCs w:val="16"/>
        <w:lang w:val="sv"/>
      </w:rPr>
      <w:t>01.01.2018</w:t>
    </w:r>
    <w:r w:rsidR="00C84BAD"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0301A3"/>
    <w:rsid w:val="001509C9"/>
    <w:rsid w:val="00154D3F"/>
    <w:rsid w:val="001C580A"/>
    <w:rsid w:val="0031481A"/>
    <w:rsid w:val="00327942"/>
    <w:rsid w:val="00343957"/>
    <w:rsid w:val="003651C9"/>
    <w:rsid w:val="00365284"/>
    <w:rsid w:val="0037561C"/>
    <w:rsid w:val="00375C35"/>
    <w:rsid w:val="00382A00"/>
    <w:rsid w:val="003B77EB"/>
    <w:rsid w:val="0045170B"/>
    <w:rsid w:val="004619ED"/>
    <w:rsid w:val="00463D5A"/>
    <w:rsid w:val="00475CB3"/>
    <w:rsid w:val="00497128"/>
    <w:rsid w:val="00557F98"/>
    <w:rsid w:val="005A0BD3"/>
    <w:rsid w:val="005A7868"/>
    <w:rsid w:val="005E23F6"/>
    <w:rsid w:val="00602E56"/>
    <w:rsid w:val="006108DE"/>
    <w:rsid w:val="0061684B"/>
    <w:rsid w:val="00623D9E"/>
    <w:rsid w:val="00756402"/>
    <w:rsid w:val="007B41CF"/>
    <w:rsid w:val="007E44A6"/>
    <w:rsid w:val="00861A71"/>
    <w:rsid w:val="008863C3"/>
    <w:rsid w:val="00941A3E"/>
    <w:rsid w:val="009945BD"/>
    <w:rsid w:val="00996377"/>
    <w:rsid w:val="00997ED6"/>
    <w:rsid w:val="00A3232D"/>
    <w:rsid w:val="00A751B3"/>
    <w:rsid w:val="00AF4575"/>
    <w:rsid w:val="00B5631F"/>
    <w:rsid w:val="00BA367D"/>
    <w:rsid w:val="00BB6740"/>
    <w:rsid w:val="00BE687F"/>
    <w:rsid w:val="00C06A29"/>
    <w:rsid w:val="00C67885"/>
    <w:rsid w:val="00C84BAD"/>
    <w:rsid w:val="00C8552E"/>
    <w:rsid w:val="00C86542"/>
    <w:rsid w:val="00CA59CD"/>
    <w:rsid w:val="00CA653C"/>
    <w:rsid w:val="00CF64E1"/>
    <w:rsid w:val="00D23F8C"/>
    <w:rsid w:val="00D74496"/>
    <w:rsid w:val="00D90454"/>
    <w:rsid w:val="00DE5B96"/>
    <w:rsid w:val="00E37855"/>
    <w:rsid w:val="00EA42FD"/>
    <w:rsid w:val="00F02F7D"/>
    <w:rsid w:val="00FA4FD3"/>
    <w:rsid w:val="00FB0E2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DAFD54-F6F3-4840-BDF5-874212F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"/>
    <w:uiPriority w:val="99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paragraph" w:styleId="Brdtextmedindrag2">
    <w:name w:val="Body Text Indent 2"/>
    <w:basedOn w:val="Normal"/>
    <w:link w:val="Brdtextmedindrag2Char"/>
    <w:rsid w:val="00B5631F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link w:val="Brdtextmedindrag2"/>
    <w:rsid w:val="00B5631F"/>
    <w:rPr>
      <w:rFonts w:ascii="Times New Roman" w:eastAsia="Times New Roman" w:hAnsi="Times New Roman"/>
      <w:snapToGrid w:val="0"/>
      <w:sz w:val="22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D90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DCF6B-8350-45DA-982A-90B1C108B927}"/>
</file>

<file path=customXml/itemProps2.xml><?xml version="1.0" encoding="utf-8"?>
<ds:datastoreItem xmlns:ds="http://schemas.openxmlformats.org/officeDocument/2006/customXml" ds:itemID="{7EA7BDC4-5582-4140-BA5E-4C6EBFF57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3517</Words>
  <Characters>18641</Characters>
  <Application>Microsoft Office Word</Application>
  <DocSecurity>0</DocSecurity>
  <Lines>155</Lines>
  <Paragraphs>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22114</CharactersWithSpaces>
  <SharedDoc>false</SharedDoc>
  <HLinks>
    <vt:vector size="6" baseType="variant">
      <vt:variant>
        <vt:i4>4784212</vt:i4>
      </vt:variant>
      <vt:variant>
        <vt:i4>4211</vt:i4>
      </vt:variant>
      <vt:variant>
        <vt:i4>1026</vt:i4>
      </vt:variant>
      <vt:variant>
        <vt:i4>1</vt:i4>
      </vt:variant>
      <vt:variant>
        <vt:lpwstr>http://www.unece.org/trans/danger/publi/ghs/pictograms/exclam.gif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2018-01-03T09:49:00Z</dcterms:created>
  <dcterms:modified xsi:type="dcterms:W3CDTF">2018-01-03T09:50:00Z</dcterms:modified>
  <cp:category/>
</cp:coreProperties>
</file>